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 xml:space="preserve">学校名称（盖章）：昆明理工大学津桥学院 </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专业名称：旅游管理与服务教育</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 120904T</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所属学科门类及专业类：旅游管理类</w:t>
      </w:r>
    </w:p>
    <w:p>
      <w:pPr>
        <w:spacing w:line="720" w:lineRule="exact"/>
        <w:ind w:firstLine="1439" w:firstLineChars="371"/>
        <w:rPr>
          <w:rFonts w:hint="eastAsia" w:ascii="Arial" w:hAnsi="Arial" w:eastAsia="楷体_GB2312"/>
          <w:spacing w:val="14"/>
          <w:sz w:val="36"/>
          <w:lang w:val="en-US" w:eastAsia="zh-CN"/>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管理学</w:t>
      </w:r>
    </w:p>
    <w:p>
      <w:pPr>
        <w:spacing w:line="720" w:lineRule="exact"/>
        <w:ind w:firstLine="1439" w:firstLineChars="371"/>
        <w:rPr>
          <w:rFonts w:hint="default" w:ascii="Arial" w:hAnsi="Arial" w:eastAsia="楷体_GB2312"/>
          <w:spacing w:val="14"/>
          <w:sz w:val="36"/>
          <w:lang w:val="en-US" w:eastAsia="zh-CN"/>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ascii="Arial" w:hAnsi="Arial" w:eastAsia="楷体_GB2312"/>
          <w:sz w:val="36"/>
        </w:rPr>
        <w:t xml:space="preserve"> </w:t>
      </w:r>
      <w:r>
        <w:rPr>
          <w:rFonts w:hint="eastAsia" w:ascii="Arial" w:hAnsi="Arial" w:eastAsia="楷体_GB2312"/>
          <w:sz w:val="36"/>
        </w:rPr>
        <w:t>2023-04-06</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专业代码</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120904T</w:t>
            </w: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专业名称</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rPr>
              <w:t>旅游管理与服务教育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修业年限</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四年</w:t>
            </w: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学位授予门类</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学校开始举办本科教育的年份</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2001年</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现有本科专业（个）</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学校本年度其他</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拟增设的专业名称</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生物技术；食品营养与健康；运动康复</w:t>
            </w: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本校已设的相近本、专科专业及开设年份</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酒店管理 本科</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工商管理 本科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拟首次招生时间</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及招生数</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2024年8月；</w:t>
            </w:r>
            <w:r>
              <w:rPr>
                <w:rFonts w:hint="eastAsia" w:ascii="仿宋_GB2312" w:hAnsi="仿宋_GB2312" w:eastAsia="仿宋_GB2312" w:cs="仿宋_GB2312"/>
                <w:sz w:val="24"/>
                <w:lang w:val="en-US" w:eastAsia="zh-CN"/>
              </w:rPr>
              <w:t>60</w:t>
            </w:r>
            <w:r>
              <w:rPr>
                <w:rFonts w:hint="eastAsia" w:ascii="仿宋_GB2312" w:hAnsi="仿宋_GB2312" w:eastAsia="仿宋_GB2312" w:cs="仿宋_GB2312"/>
                <w:sz w:val="24"/>
              </w:rPr>
              <w:t>人；</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五年内计划</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发展规模</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师范专业标识</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（师范S、兼有J）</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所在院系名称</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康旅现代产业</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高等学校专业设置评议专家组织审议意见</w:t>
            </w:r>
          </w:p>
        </w:tc>
        <w:tc>
          <w:tcPr>
            <w:tcW w:w="1819"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（主任签字）</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年   月   日</w:t>
            </w:r>
          </w:p>
        </w:tc>
        <w:tc>
          <w:tcPr>
            <w:tcW w:w="243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学校审批意见</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（校长签字）</w:t>
            </w:r>
          </w:p>
        </w:tc>
        <w:tc>
          <w:tcPr>
            <w:tcW w:w="206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（盖章）</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高等学校主管部门形式</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审核意见（根据是否具备该专业办学条件、申请材料是否真实等给出是否同意备案的意见）</w:t>
            </w:r>
          </w:p>
        </w:tc>
        <w:tc>
          <w:tcPr>
            <w:tcW w:w="6316" w:type="dxa"/>
            <w:gridSpan w:val="3"/>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（盖章）</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rPr>
            </w:pPr>
            <w:r>
              <w:rPr>
                <w:rFonts w:hint="eastAsia" w:ascii="仿宋_GB2312" w:hAnsi="仿宋_GB2312" w:eastAsia="仿宋_GB2312" w:cs="仿宋_GB2312"/>
                <w:sz w:val="24"/>
              </w:rPr>
              <w:t xml:space="preserve">                                     年   月  日</w:t>
            </w:r>
          </w:p>
        </w:tc>
      </w:tr>
    </w:tbl>
    <w:p>
      <w:pPr>
        <w:rPr>
          <w:rFonts w:eastAsia="仿宋_GB2312"/>
          <w:b/>
          <w:sz w:val="24"/>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学校名称</w:t>
            </w:r>
          </w:p>
        </w:tc>
        <w:tc>
          <w:tcPr>
            <w:tcW w:w="2028" w:type="dxa"/>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sz w:val="24"/>
              </w:rPr>
            </w:pPr>
          </w:p>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sz w:val="24"/>
              </w:rPr>
            </w:pP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eastAsia" w:ascii="Times New Roman" w:hAnsi="Times New Roman" w:eastAsia="仿宋_GB2312" w:cs="Times New Roman"/>
                <w:sz w:val="24"/>
              </w:rPr>
              <w:t>昆明理工大学津桥学院</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学校地址</w:t>
            </w:r>
          </w:p>
        </w:tc>
        <w:tc>
          <w:tcPr>
            <w:tcW w:w="4343" w:type="dxa"/>
            <w:gridSpan w:val="3"/>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高新校区：云南省昆明市五华区国家高新技术产业开发区海源北路1268号</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空港校区：云南省昆明市官渡区云桥街（云瑞路）1369号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邮政编码</w:t>
            </w:r>
          </w:p>
        </w:tc>
        <w:tc>
          <w:tcPr>
            <w:tcW w:w="2028"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en-US"/>
              </w:rPr>
              <w:t>650106</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校园网址</w:t>
            </w:r>
          </w:p>
        </w:tc>
        <w:tc>
          <w:tcPr>
            <w:tcW w:w="4343" w:type="dxa"/>
            <w:gridSpan w:val="3"/>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eastAsia" w:ascii="Times New Roman" w:hAnsi="Times New Roman" w:eastAsia="仿宋_GB2312" w:cs="Times New Roman"/>
                <w:sz w:val="24"/>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学校办学</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基本类型</w:t>
            </w:r>
          </w:p>
        </w:tc>
        <w:tc>
          <w:tcPr>
            <w:tcW w:w="7930" w:type="dxa"/>
            <w:gridSpan w:val="6"/>
          </w:tcPr>
          <w:p>
            <w:pPr>
              <w:keepNext w:val="0"/>
              <w:keepLines w:val="0"/>
              <w:suppressLineNumbers w:val="0"/>
              <w:spacing w:before="0" w:beforeAutospacing="0" w:after="0" w:afterAutospacing="0" w:line="360" w:lineRule="auto"/>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□部委院校  □地方院校  □公办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p>
        </w:tc>
        <w:tc>
          <w:tcPr>
            <w:tcW w:w="7930" w:type="dxa"/>
            <w:gridSpan w:val="6"/>
          </w:tcPr>
          <w:p>
            <w:pPr>
              <w:keepNext w:val="0"/>
              <w:keepLines w:val="0"/>
              <w:suppressLineNumbers w:val="0"/>
              <w:spacing w:before="0" w:beforeAutospacing="0" w:after="0" w:afterAutospacing="0" w:line="360" w:lineRule="auto"/>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□大学    □学院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在校本科生总数</w:t>
            </w:r>
          </w:p>
        </w:tc>
        <w:tc>
          <w:tcPr>
            <w:tcW w:w="2890" w:type="dxa"/>
            <w:gridSpan w:val="2"/>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p>
        </w:tc>
        <w:tc>
          <w:tcPr>
            <w:tcW w:w="2510" w:type="dxa"/>
            <w:gridSpan w:val="2"/>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专业平均年招生规模</w:t>
            </w:r>
          </w:p>
        </w:tc>
        <w:tc>
          <w:tcPr>
            <w:tcW w:w="2530" w:type="dxa"/>
            <w:gridSpan w:val="2"/>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已有专业</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学科门类</w:t>
            </w:r>
          </w:p>
        </w:tc>
        <w:tc>
          <w:tcPr>
            <w:tcW w:w="7930" w:type="dxa"/>
            <w:gridSpan w:val="6"/>
            <w:vAlign w:val="center"/>
          </w:tcPr>
          <w:p>
            <w:pPr>
              <w:keepNext w:val="0"/>
              <w:keepLines w:val="0"/>
              <w:suppressLineNumbers w:val="0"/>
              <w:spacing w:before="0" w:beforeAutospacing="0" w:after="0" w:afterAutospacing="0" w:line="360" w:lineRule="auto"/>
              <w:ind w:left="0" w:right="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□哲学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经济学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法学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教育学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文学    □历史学</w:t>
            </w:r>
          </w:p>
          <w:p>
            <w:pPr>
              <w:keepNext w:val="0"/>
              <w:keepLines w:val="0"/>
              <w:suppressLineNumbers w:val="0"/>
              <w:spacing w:before="0" w:beforeAutospacing="0" w:after="0" w:afterAutospacing="0" w:line="360" w:lineRule="auto"/>
              <w:ind w:left="0" w:right="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理学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 xml:space="preserve">工学     □农学   □医学     </w:t>
            </w:r>
            <w:r>
              <w:rPr>
                <w:rFonts w:hint="default" w:ascii="Times New Roman" w:hAnsi="Times New Roman" w:eastAsia="仿宋_GB2312" w:cs="Times New Roman"/>
                <w:sz w:val="24"/>
              </w:rPr>
              <w:sym w:font="Wingdings 2" w:char="0052"/>
            </w:r>
            <w:r>
              <w:rPr>
                <w:rFonts w:hint="default" w:ascii="Times New Roman" w:hAnsi="Times New Roman" w:eastAsia="仿宋_GB2312" w:cs="Times New Roman"/>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专任教师</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总数（人）</w:t>
            </w:r>
          </w:p>
        </w:tc>
        <w:tc>
          <w:tcPr>
            <w:tcW w:w="289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eastAsia="en-US"/>
              </w:rPr>
              <w:t>458</w:t>
            </w:r>
          </w:p>
        </w:tc>
        <w:tc>
          <w:tcPr>
            <w:tcW w:w="2870"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专任教师中副教授及以上职称教师数及所占比例</w:t>
            </w:r>
          </w:p>
        </w:tc>
        <w:tc>
          <w:tcPr>
            <w:tcW w:w="2170"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eastAsia="en-US"/>
              </w:rPr>
              <w:t>205</w:t>
            </w:r>
            <w:r>
              <w:rPr>
                <w:rFonts w:hint="eastAsia" w:ascii="Times New Roman" w:hAnsi="Times New Roman" w:eastAsia="仿宋_GB2312" w:cs="Times New Roman"/>
                <w:sz w:val="24"/>
                <w:lang w:val="en-US" w:eastAsia="zh-CN"/>
              </w:rPr>
              <w:t xml:space="preserve"> 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学校简介和</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历史沿革</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（300字以内，无需加页）</w:t>
            </w:r>
          </w:p>
        </w:tc>
        <w:tc>
          <w:tcPr>
            <w:tcW w:w="7930" w:type="dxa"/>
            <w:gridSpan w:val="6"/>
          </w:tcPr>
          <w:p>
            <w:pPr>
              <w:pStyle w:val="19"/>
              <w:keepNext w:val="0"/>
              <w:keepLines w:val="0"/>
              <w:suppressLineNumbers w:val="0"/>
              <w:bidi w:val="0"/>
              <w:spacing w:before="0" w:beforeAutospacing="0" w:after="0" w:afterAutospacing="0"/>
              <w:ind w:left="0" w:right="0"/>
              <w:rPr>
                <w:rFonts w:hint="eastAsia"/>
              </w:rPr>
            </w:pPr>
            <w:r>
              <w:rPr>
                <w:rFonts w:hint="eastAsia"/>
              </w:rPr>
              <w:t>学校于2001年依托昆明理工大学学科专业优势创办的一所工为主，经、管、文、法等学科融合发展特色鲜明的独立学院。学校有高新、空港2个校区，占地面积922亩。设有电气与信息工程、建筑工程、经济管理理工等6个二级学院，思想政治理论、体育2个教学部，共有40个本科专业。学校拥有130余个校内外实践教学基地及770余人教职员工，其中“双师型”教师280余人，高级专业技术职称教师及硕士学位以上教师占比分别为42.43%、77.6%。</w:t>
            </w:r>
          </w:p>
          <w:p>
            <w:pPr>
              <w:pStyle w:val="19"/>
              <w:keepNext w:val="0"/>
              <w:keepLines w:val="0"/>
              <w:suppressLineNumbers w:val="0"/>
              <w:bidi w:val="0"/>
              <w:spacing w:before="0" w:beforeAutospacing="0" w:after="0" w:afterAutospacing="0"/>
              <w:ind w:left="0" w:right="0"/>
              <w:rPr>
                <w:rFonts w:hint="default" w:ascii="Times New Roman" w:hAnsi="Times New Roman" w:eastAsia="仿宋_GB2312" w:cs="Times New Roman"/>
              </w:rPr>
            </w:pPr>
            <w:r>
              <w:rPr>
                <w:rFonts w:hint="eastAsia"/>
              </w:rPr>
              <w:t>建校以来，学校坚持社会主义办学方向，全面贯彻党的教育方针，落实立德树人根本任务，为国家和地方经济社会发展输送了29000余名专业人才；并共计获得110余项创新创业大赛奖项及700余项各类学科竞赛奖项，其中国际级、国家级奖项共计400余项。</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一、学校定位</w:t>
            </w:r>
          </w:p>
          <w:p>
            <w:pPr>
              <w:pStyle w:val="19"/>
              <w:keepNext w:val="0"/>
              <w:keepLines w:val="0"/>
              <w:suppressLineNumbers w:val="0"/>
              <w:bidi w:val="0"/>
              <w:spacing w:before="0" w:beforeAutospacing="0" w:after="0" w:afterAutospacing="0"/>
              <w:ind w:left="0" w:right="0"/>
              <w:rPr>
                <w:rFonts w:hint="default" w:eastAsia="仿宋_GB2312"/>
              </w:rPr>
            </w:pPr>
            <w:r>
              <w:rPr>
                <w:rFonts w:hint="eastAsia"/>
                <w:lang w:val="en-US" w:eastAsia="zh-CN"/>
              </w:rPr>
              <w:t>昆明理工大学津桥学院的</w:t>
            </w:r>
            <w:r>
              <w:rPr>
                <w:rFonts w:hint="default"/>
              </w:rPr>
              <w:t>发展定位是云南领先，区域知名，特色鲜明的一流应用型大学。立足云南，面向全国，辐射南亚东南亚，服务国家战略和区域经济社会发展。在长期办学实践中，坚持按照“立德树人、服务社会、务实创新、追求卓越”的办学宗旨，以学生为本，理论联系实际，注重专业能力和创新能力培养，培养德、智、体、美、劳全面发展，具有良好专业素养，高尚人文情怀，较强创新精神和实践能力的高层次应用型人才。</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二、昆明理工大学津桥学院增设</w:t>
            </w:r>
            <w:r>
              <w:rPr>
                <w:rFonts w:hint="eastAsia" w:eastAsia="仿宋_GB2312"/>
                <w:b/>
                <w:bCs/>
                <w:sz w:val="24"/>
                <w:lang w:val="en-US" w:eastAsia="zh-CN"/>
              </w:rPr>
              <w:t>旅游管理与服务教育</w:t>
            </w:r>
            <w:r>
              <w:rPr>
                <w:rFonts w:hint="default" w:eastAsia="仿宋_GB2312"/>
                <w:b/>
                <w:bCs/>
                <w:sz w:val="24"/>
              </w:rPr>
              <w:t>专业的必要性</w:t>
            </w:r>
          </w:p>
          <w:p>
            <w:pPr>
              <w:keepNext w:val="0"/>
              <w:keepLines w:val="0"/>
              <w:widowControl w:val="0"/>
              <w:suppressLineNumbers w:val="0"/>
              <w:spacing w:before="66" w:beforeAutospacing="0" w:after="0" w:afterAutospacing="0" w:line="362" w:lineRule="auto"/>
              <w:ind w:left="0" w:right="469" w:firstLine="478" w:firstLineChars="200"/>
              <w:jc w:val="both"/>
              <w:rPr>
                <w:rFonts w:hint="default" w:ascii="仿宋_GB2312" w:hAnsi="等线" w:eastAsia="仿宋_GB2312" w:cs="Times New Roman"/>
                <w:b/>
                <w:bCs/>
                <w:spacing w:val="-1"/>
                <w:kern w:val="2"/>
                <w:sz w:val="24"/>
                <w:szCs w:val="24"/>
              </w:rPr>
            </w:pPr>
            <w:r>
              <w:rPr>
                <w:rFonts w:hint="default" w:ascii="仿宋_GB2312" w:hAnsi="等线" w:eastAsia="仿宋_GB2312" w:cs="仿宋_GB2312"/>
                <w:b/>
                <w:bCs/>
                <w:spacing w:val="-1"/>
                <w:kern w:val="2"/>
                <w:sz w:val="24"/>
                <w:szCs w:val="24"/>
                <w:lang w:val="en-US" w:eastAsia="zh-CN" w:bidi="ar"/>
              </w:rPr>
              <w:t>（一）</w:t>
            </w:r>
            <w:r>
              <w:rPr>
                <w:rFonts w:hint="eastAsia" w:ascii="仿宋_GB2312" w:hAnsi="等线" w:eastAsia="仿宋_GB2312" w:cs="仿宋_GB2312"/>
                <w:b/>
                <w:bCs/>
                <w:spacing w:val="-1"/>
                <w:kern w:val="2"/>
                <w:sz w:val="24"/>
                <w:szCs w:val="24"/>
                <w:lang w:val="en-US" w:eastAsia="zh-CN" w:bidi="ar"/>
              </w:rPr>
              <w:t>响应</w:t>
            </w:r>
            <w:r>
              <w:rPr>
                <w:rFonts w:hint="default" w:ascii="仿宋_GB2312" w:hAnsi="等线" w:eastAsia="仿宋_GB2312" w:cs="仿宋_GB2312"/>
                <w:b/>
                <w:bCs/>
                <w:spacing w:val="-1"/>
                <w:kern w:val="2"/>
                <w:sz w:val="24"/>
                <w:szCs w:val="24"/>
                <w:lang w:val="en-US" w:eastAsia="zh-CN" w:bidi="ar"/>
              </w:rPr>
              <w:t>国家旅游高质量发展战略</w:t>
            </w:r>
          </w:p>
          <w:p>
            <w:pPr>
              <w:pStyle w:val="19"/>
              <w:keepNext w:val="0"/>
              <w:keepLines w:val="0"/>
              <w:suppressLineNumbers w:val="0"/>
              <w:bidi w:val="0"/>
              <w:spacing w:before="0" w:beforeAutospacing="0" w:after="0" w:afterAutospacing="0"/>
              <w:ind w:left="0" w:right="0"/>
              <w:rPr>
                <w:rFonts w:hint="default" w:ascii="仿宋_GB2312" w:hAnsi="等线" w:eastAsia="仿宋_GB2312" w:cs="Times New Roman"/>
                <w:spacing w:val="-1"/>
                <w:kern w:val="2"/>
                <w:szCs w:val="24"/>
              </w:rPr>
            </w:pPr>
            <w:r>
              <w:rPr>
                <w:rFonts w:hint="default"/>
                <w:lang w:val="en-US" w:eastAsia="zh-CN"/>
              </w:rPr>
              <w:t>培养旅游管理与服务教育专业人才是顺应国家旅游高质量发展战略</w:t>
            </w:r>
            <w:r>
              <w:rPr>
                <w:rFonts w:hint="eastAsia"/>
                <w:lang w:val="en-US" w:eastAsia="zh-CN"/>
              </w:rPr>
              <w:t>。</w:t>
            </w:r>
            <w:r>
              <w:rPr>
                <w:rFonts w:hint="default"/>
                <w:lang w:val="en-US" w:eastAsia="zh-CN"/>
              </w:rPr>
              <w:t>近年来，党中央、国务院对旅游业发展高度重视，多次对旅游业发展作出重要批示指示及发布多项决策，旅游业全面融入国家战略体系。2016年，《“十三五”旅游业发展规划》首次被列入国家重点专项规划，旅游业全面融入国家战略体系，充分体现了党中央、国务院对旅游业发展的高度重视。2017年，政府工作报告中提出“大力发展全域旅游”，全域旅游上升为国家战略。2019年，“发展壮大旅游产业”写进了政府工作报告提出，明确要促进形成强大国内市场，持续释放内需潜力。2021年12月，国家印发了《“十四五”旅游业发展规划》，我国将全面进入大众旅游时代，同时旅游业也面临高质量发展的新要求。</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要发展壮大旅游业，培养相关专业的人才是关键。在《国务院关于促进旅游业改革发展的若干意见》及《关于促进全域旅游发展的指导意见》明确提出“人才强旅、科教兴旅”战略，将旅游人才队伍建设纳入重点人才支持计划，大力发展旅游职业教育，加强旅游专业支持，优化专业设置等的重要举措。随着旅游业与相关产业的融合将不断深化，旅游企业类型将不断拓展，同时人民群众旅游消费需求将从低层次向高品质和多样化转变，由注重观光向兼顾观光与休闲度假转变，旅游服务模式将进一步优化，综合性、集群化的产业体系将不断强化。因此，对旅游人才培养提出新的更高要求，而申报增设“旅游管理与服务教育”专业，正是为了培养能够胜任旅游产业融合发展需要的各类旅游、旅游企事业单位及其相关机构的中高级旅游管理人才，满足新常态下国家旅游业发展对旅游复合人才的需要。</w:t>
            </w:r>
          </w:p>
          <w:p>
            <w:pPr>
              <w:keepNext w:val="0"/>
              <w:keepLines w:val="0"/>
              <w:widowControl w:val="0"/>
              <w:suppressLineNumbers w:val="0"/>
              <w:spacing w:before="66" w:beforeAutospacing="0" w:after="0" w:afterAutospacing="0" w:line="362" w:lineRule="auto"/>
              <w:ind w:left="0" w:right="469" w:firstLine="478" w:firstLineChars="200"/>
              <w:jc w:val="both"/>
              <w:rPr>
                <w:rFonts w:hint="default" w:ascii="仿宋_GB2312" w:hAnsi="等线" w:eastAsia="仿宋_GB2312" w:cs="Times New Roman"/>
                <w:b/>
                <w:bCs/>
                <w:spacing w:val="-1"/>
                <w:kern w:val="2"/>
                <w:sz w:val="24"/>
                <w:szCs w:val="24"/>
              </w:rPr>
            </w:pPr>
            <w:r>
              <w:rPr>
                <w:rFonts w:hint="default" w:ascii="仿宋_GB2312" w:hAnsi="等线" w:eastAsia="仿宋_GB2312" w:cs="仿宋_GB2312"/>
                <w:b/>
                <w:bCs/>
                <w:spacing w:val="-1"/>
                <w:kern w:val="2"/>
                <w:sz w:val="24"/>
                <w:szCs w:val="24"/>
                <w:lang w:val="en-US" w:eastAsia="zh-CN" w:bidi="ar"/>
              </w:rPr>
              <w:t>（二）服务云南地方旅游产业发展需要</w:t>
            </w:r>
          </w:p>
          <w:p>
            <w:pPr>
              <w:pStyle w:val="19"/>
              <w:keepNext w:val="0"/>
              <w:keepLines w:val="0"/>
              <w:suppressLineNumbers w:val="0"/>
              <w:bidi w:val="0"/>
              <w:spacing w:before="0" w:beforeAutospacing="0" w:after="0" w:afterAutospacing="0"/>
              <w:ind w:left="0" w:right="0"/>
              <w:rPr>
                <w:rFonts w:hint="default"/>
                <w:lang w:val="en-US"/>
              </w:rPr>
            </w:pPr>
            <w:r>
              <w:rPr>
                <w:rFonts w:hint="default"/>
                <w:lang w:val="en-US" w:eastAsia="zh-CN"/>
              </w:rPr>
              <w:t>云南省党委、人民政府对旅游业高度重视，通过一系列举措，大力发展旅游业，致力于文化旅游强区建设2022年3月在《关于精准做好疫情防控加快旅游业恢复发展若干政策措施的通知》提出鼓励国内知名旅游企业与省内院校合作建设“旅游产业学院”，为实战型旅游人才培养提供创新平台。</w:t>
            </w:r>
            <w:r>
              <w:rPr>
                <w:rFonts w:hint="eastAsia"/>
                <w:lang w:val="en-US" w:eastAsia="zh-CN"/>
              </w:rPr>
              <w:t>2022年</w:t>
            </w:r>
            <w:r>
              <w:rPr>
                <w:rFonts w:hint="default"/>
                <w:lang w:val="en-US" w:eastAsia="zh-CN"/>
              </w:rPr>
              <w:t>5月27日，云南省政府发布《云南省“十四五”文化和旅游发展规划》，提出云南省文化和旅游事业“十四五”发展目标和2035年远景目标，为云南全面建设文化和旅游“双强省”指明方向。特别强调实施文化和旅游人才培养提升计划，制定与市场需求相适应的人才培养方案，加强文化和旅游人才培养。深化校企合作，稳固联合培养机制，开展一批创新型、示范性、订单式校企合作人才培养项目，以紧缺急需的文化和旅游专业人才培养为重点，加大文化创意、文化艺术、康养度假、旅游演艺、等重点领域的人才培养力度，着力培养拔尖人才，形成国际化、标准化、本土化的高层次人才梯队。</w:t>
            </w:r>
            <w:r>
              <w:rPr>
                <w:rFonts w:hint="eastAsia"/>
                <w:lang w:val="en-US" w:eastAsia="zh-CN"/>
              </w:rPr>
              <w:t>2022年11月23日云南省第十一届委员会第三次全体会议通过了《中共云南省委关于深入学习贯彻党的二十大精神 奋力开创新时代云南社会主义现代化建设新局面的决定》，提出了的“3815”战略发展目标，加快构建云南特色现代化产业体系，壮大“三大经济”的先手棋，推动旅游业态、模式、产品、服务创新，发挥旅游新优势。</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由此可见，云南旅游业的持续深入发展亟需大量旅游管理</w:t>
            </w:r>
            <w:r>
              <w:rPr>
                <w:rFonts w:hint="eastAsia"/>
                <w:lang w:val="en-US" w:eastAsia="zh-CN"/>
              </w:rPr>
              <w:t>与服务教育</w:t>
            </w:r>
            <w:r>
              <w:rPr>
                <w:rFonts w:hint="default"/>
                <w:lang w:val="en-US" w:eastAsia="zh-CN"/>
              </w:rPr>
              <w:t>专业人才，尤其是既具备旅游管理能力、又具备教育教学能力的高层次应用型复合人才，在未来随着全域旅游、县域特色旅游、乡村旅游的全面发展，云南将更加缺乏集教学型、管理型、技术型于一体的高素质复合型人才。</w:t>
            </w:r>
          </w:p>
          <w:p>
            <w:pPr>
              <w:keepNext w:val="0"/>
              <w:keepLines w:val="0"/>
              <w:widowControl w:val="0"/>
              <w:numPr>
                <w:ilvl w:val="0"/>
                <w:numId w:val="0"/>
              </w:numPr>
              <w:suppressLineNumbers w:val="0"/>
              <w:spacing w:before="66" w:beforeAutospacing="0" w:after="0" w:afterAutospacing="0" w:line="362" w:lineRule="auto"/>
              <w:ind w:left="0" w:leftChars="0" w:right="469" w:rightChars="0" w:firstLine="478" w:firstLineChars="200"/>
              <w:jc w:val="both"/>
              <w:rPr>
                <w:rFonts w:hint="default" w:ascii="仿宋_GB2312" w:hAnsi="等线" w:eastAsia="仿宋_GB2312" w:cs="Times New Roman"/>
                <w:b/>
                <w:bCs/>
                <w:spacing w:val="-1"/>
                <w:kern w:val="2"/>
                <w:sz w:val="24"/>
                <w:szCs w:val="24"/>
              </w:rPr>
            </w:pPr>
            <w:r>
              <w:rPr>
                <w:rFonts w:hint="default" w:ascii="仿宋_GB2312" w:hAnsi="等线" w:eastAsia="仿宋_GB2312" w:cs="仿宋_GB2312"/>
                <w:b/>
                <w:bCs/>
                <w:spacing w:val="-1"/>
                <w:kern w:val="2"/>
                <w:sz w:val="24"/>
                <w:szCs w:val="24"/>
                <w:lang w:val="en-US" w:eastAsia="zh-CN" w:bidi="ar"/>
              </w:rPr>
              <w:t>（三）符合学校的办学定位和办学特色</w:t>
            </w:r>
          </w:p>
          <w:p>
            <w:pPr>
              <w:pStyle w:val="19"/>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昆明理工大学津桥学院学校创办于2001年，是一所工科为主，经、管、文、法、理、教育多学科协调发展的全日制本科独立学院。随着办学规模逐步扩大、办学实力大大增强、办学质量和水平逐步提升、办学层次实现重大跨越。学校为云南省扩大高等教育资源供给、培养急需应用型人才、优化高等教育区域布局、促进高等教育健康发展提供了有力支持。学校明确了坚持以工学为主干，经管等多学科专业协调发展的学科专业建设定位,强调统筹学科和专业建设凝练学科特色，打造与区域产业和文化高度融合的专业集群，通过学科专业资源的优化配置，使服务产业相近、相互支撑的学科专业资源集中配置，形成集中度。目前，云南省旅游管理与服务教育人才需求趋势已经彰显，而与其对接的专业集群在我校尚未得到构建，其原因是我校酒店管理专业不能满足专业融合发展的需求，增设旅游管理与服务教育迫在眉睫。结合学校办学特点，凝炼酒店管理、旅游管理与服务教育专业特色，整合学校优势专业资源，构建“旅游+文化+信息技术”特色专业集群，切实提高我校办学水平，更好助力云南旅游业发展。</w:t>
            </w:r>
          </w:p>
          <w:p>
            <w:pPr>
              <w:pStyle w:val="19"/>
              <w:keepNext w:val="0"/>
              <w:keepLines w:val="0"/>
              <w:suppressLineNumbers w:val="0"/>
              <w:bidi w:val="0"/>
              <w:spacing w:before="0" w:beforeAutospacing="0" w:after="0" w:afterAutospacing="0"/>
              <w:ind w:left="0" w:right="0"/>
              <w:rPr>
                <w:rFonts w:hint="default"/>
                <w:b/>
                <w:bCs/>
                <w:lang w:val="en-US" w:eastAsia="zh-CN"/>
              </w:rPr>
            </w:pPr>
            <w:r>
              <w:rPr>
                <w:rFonts w:hint="default"/>
                <w:b/>
                <w:bCs/>
                <w:lang w:val="en-US" w:eastAsia="zh-CN"/>
              </w:rPr>
              <w:t>三、支撑该专业发展的学科基础</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首先，学科支撑。</w:t>
            </w:r>
            <w:r>
              <w:rPr>
                <w:rFonts w:hint="default" w:eastAsia="仿宋_GB2312"/>
                <w:b w:val="0"/>
                <w:bCs w:val="0"/>
                <w:sz w:val="24"/>
              </w:rPr>
              <w:t>学院开设了</w:t>
            </w:r>
            <w:r>
              <w:rPr>
                <w:rFonts w:hint="eastAsia" w:eastAsia="仿宋_GB2312"/>
                <w:b w:val="0"/>
                <w:bCs w:val="0"/>
                <w:sz w:val="24"/>
                <w:lang w:val="en-US" w:eastAsia="zh-CN"/>
              </w:rPr>
              <w:t>酒店管理</w:t>
            </w:r>
            <w:r>
              <w:rPr>
                <w:rFonts w:hint="default" w:eastAsia="仿宋_GB2312"/>
                <w:b w:val="0"/>
                <w:bCs w:val="0"/>
                <w:sz w:val="24"/>
              </w:rPr>
              <w:t>本科专业，已具备</w:t>
            </w:r>
            <w:r>
              <w:rPr>
                <w:rFonts w:hint="eastAsia" w:eastAsia="仿宋_GB2312"/>
                <w:b w:val="0"/>
                <w:bCs w:val="0"/>
                <w:sz w:val="24"/>
                <w:lang w:val="en-US" w:eastAsia="zh-CN"/>
              </w:rPr>
              <w:t>旅游管理</w:t>
            </w:r>
            <w:r>
              <w:rPr>
                <w:rFonts w:hint="default" w:eastAsia="仿宋_GB2312"/>
                <w:b w:val="0"/>
                <w:bCs w:val="0"/>
                <w:sz w:val="24"/>
              </w:rPr>
              <w:t>相关专业的“</w:t>
            </w:r>
            <w:r>
              <w:rPr>
                <w:rFonts w:hint="eastAsia" w:eastAsia="仿宋_GB2312"/>
                <w:b w:val="0"/>
                <w:bCs w:val="0"/>
                <w:sz w:val="24"/>
                <w:lang w:val="en-US" w:eastAsia="zh-CN"/>
              </w:rPr>
              <w:t>管理学</w:t>
            </w:r>
            <w:r>
              <w:rPr>
                <w:rFonts w:hint="default" w:eastAsia="仿宋_GB2312"/>
                <w:b w:val="0"/>
                <w:bCs w:val="0"/>
                <w:sz w:val="24"/>
              </w:rPr>
              <w:t>”、“</w:t>
            </w:r>
            <w:r>
              <w:rPr>
                <w:rFonts w:hint="eastAsia" w:eastAsia="仿宋_GB2312"/>
                <w:b w:val="0"/>
                <w:bCs w:val="0"/>
                <w:sz w:val="24"/>
                <w:lang w:val="en-US" w:eastAsia="zh-CN"/>
              </w:rPr>
              <w:t>旅游概论</w:t>
            </w:r>
            <w:r>
              <w:rPr>
                <w:rFonts w:hint="default" w:eastAsia="仿宋_GB2312"/>
                <w:b w:val="0"/>
                <w:bCs w:val="0"/>
                <w:sz w:val="24"/>
              </w:rPr>
              <w:t>”、“</w:t>
            </w:r>
            <w:r>
              <w:rPr>
                <w:rFonts w:hint="eastAsia" w:eastAsia="仿宋_GB2312"/>
                <w:b w:val="0"/>
                <w:bCs w:val="0"/>
                <w:sz w:val="24"/>
                <w:lang w:val="en-US" w:eastAsia="zh-CN"/>
              </w:rPr>
              <w:t>旅游资源学</w:t>
            </w:r>
            <w:r>
              <w:rPr>
                <w:rFonts w:hint="default" w:eastAsia="仿宋_GB2312"/>
                <w:b w:val="0"/>
                <w:bCs w:val="0"/>
                <w:sz w:val="24"/>
              </w:rPr>
              <w:t>”、“</w:t>
            </w:r>
            <w:r>
              <w:rPr>
                <w:rFonts w:hint="eastAsia" w:eastAsia="仿宋_GB2312"/>
                <w:b w:val="0"/>
                <w:bCs w:val="0"/>
                <w:sz w:val="24"/>
                <w:lang w:val="en-US" w:eastAsia="zh-CN"/>
              </w:rPr>
              <w:t>旅游法规</w:t>
            </w:r>
            <w:r>
              <w:rPr>
                <w:rFonts w:hint="default" w:eastAsia="仿宋_GB2312"/>
                <w:b w:val="0"/>
                <w:bCs w:val="0"/>
                <w:sz w:val="24"/>
              </w:rPr>
              <w:t>”、“</w:t>
            </w:r>
            <w:r>
              <w:rPr>
                <w:rFonts w:hint="eastAsia" w:eastAsia="仿宋_GB2312"/>
                <w:b w:val="0"/>
                <w:bCs w:val="0"/>
                <w:sz w:val="24"/>
                <w:lang w:val="en-US" w:eastAsia="zh-CN"/>
              </w:rPr>
              <w:t>旅游公共关系学</w:t>
            </w:r>
            <w:r>
              <w:rPr>
                <w:rFonts w:hint="default" w:eastAsia="仿宋_GB2312"/>
                <w:b w:val="0"/>
                <w:bCs w:val="0"/>
                <w:sz w:val="24"/>
              </w:rPr>
              <w:t>”等主干课程的教师</w:t>
            </w:r>
            <w:r>
              <w:rPr>
                <w:rFonts w:hint="eastAsia" w:eastAsia="仿宋_GB2312"/>
                <w:b w:val="0"/>
                <w:bCs w:val="0"/>
                <w:sz w:val="24"/>
                <w:lang w:eastAsia="zh-CN"/>
              </w:rPr>
              <w:t>。</w:t>
            </w:r>
            <w:r>
              <w:rPr>
                <w:rFonts w:hint="eastAsia" w:eastAsia="仿宋_GB2312"/>
                <w:b w:val="0"/>
                <w:bCs w:val="0"/>
                <w:sz w:val="24"/>
                <w:lang w:val="en-US" w:eastAsia="zh-CN"/>
              </w:rPr>
              <w:t>学院有工商管理系、会计系、经济系、文化旅游管理系，下设七个专业（工商管理、市场营销、物流管理、会计学、国际经济与贸易、酒店管理、文化产业管理等），</w:t>
            </w:r>
            <w:r>
              <w:rPr>
                <w:rFonts w:hint="default" w:eastAsia="仿宋_GB2312"/>
                <w:b w:val="0"/>
                <w:bCs w:val="0"/>
                <w:sz w:val="24"/>
              </w:rPr>
              <w:t>拥有一支业务精良的师资队伍，其中1名省级教学名师，1个名师工作室，具有副高及以上专业技术职称的教师达63%，具有硕士及以上学位的专任教师达100%。其中，双师型教师达65%，海归教师达35%。专业教师团队职称结构合理，且具有较丰富的教学经验和生产实践经验。可见，已具备开设该专业的良好的基本条件。</w:t>
            </w:r>
            <w:r>
              <w:rPr>
                <w:rFonts w:hint="default" w:eastAsia="仿宋_GB2312"/>
                <w:b/>
                <w:bCs/>
                <w:sz w:val="24"/>
              </w:rPr>
              <w:t>其次，实践教学基地。</w:t>
            </w:r>
            <w:r>
              <w:rPr>
                <w:rFonts w:hint="default" w:eastAsia="仿宋_GB2312"/>
                <w:b w:val="0"/>
                <w:bCs w:val="0"/>
                <w:sz w:val="24"/>
              </w:rPr>
              <w:t>目前学院与云南省康旅控股集团有限公司、云南民族电影制片厂、云南广电集团、云南民族文化旅游产业有限责任公司</w:t>
            </w:r>
            <w:r>
              <w:rPr>
                <w:rFonts w:hint="eastAsia" w:eastAsia="仿宋_GB2312"/>
                <w:b w:val="0"/>
                <w:bCs w:val="0"/>
                <w:sz w:val="24"/>
                <w:lang w:val="en-US" w:eastAsia="zh-CN"/>
              </w:rPr>
              <w:t>、</w:t>
            </w:r>
            <w:r>
              <w:rPr>
                <w:rFonts w:hint="default" w:eastAsia="仿宋_GB2312"/>
                <w:b w:val="0"/>
                <w:bCs w:val="0"/>
                <w:sz w:val="24"/>
              </w:rPr>
              <w:t>昆明云南世博花园酒店、昆明洲际酒店、版纳洲际酒店、澄江希尔顿酒店、诚泰保险公司、昆明国际会展中心等50多家企业建立了产教融合、联合培养、订单培养的校企战略合作关系。共建校外实践基地，为</w:t>
            </w:r>
            <w:r>
              <w:rPr>
                <w:rFonts w:hint="eastAsia" w:eastAsia="仿宋_GB2312"/>
                <w:b w:val="0"/>
                <w:bCs w:val="0"/>
                <w:sz w:val="24"/>
                <w:lang w:val="en-US" w:eastAsia="zh-CN"/>
              </w:rPr>
              <w:t>旅游管理与服务教育</w:t>
            </w:r>
            <w:r>
              <w:rPr>
                <w:rFonts w:hint="default" w:eastAsia="仿宋_GB2312"/>
                <w:b w:val="0"/>
                <w:bCs w:val="0"/>
                <w:sz w:val="24"/>
              </w:rPr>
              <w:t>专业的人才培养提供良好的实践实训条件。</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eastAsia" w:eastAsia="仿宋_GB2312"/>
                <w:b/>
                <w:bCs/>
                <w:sz w:val="24"/>
                <w:lang w:val="en-US" w:eastAsia="zh-CN"/>
              </w:rPr>
              <w:t>四</w:t>
            </w:r>
            <w:r>
              <w:rPr>
                <w:rFonts w:hint="default" w:eastAsia="仿宋_GB2312"/>
                <w:b/>
                <w:bCs/>
                <w:sz w:val="24"/>
              </w:rPr>
              <w:t>、学校专业发展规划</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为高质量建设旅游管理</w:t>
            </w:r>
            <w:r>
              <w:rPr>
                <w:rFonts w:hint="eastAsia"/>
                <w:lang w:val="en-US" w:eastAsia="zh-CN"/>
              </w:rPr>
              <w:t>与服务教育</w:t>
            </w:r>
            <w:r>
              <w:rPr>
                <w:rFonts w:hint="default"/>
                <w:lang w:val="en-US" w:eastAsia="zh-CN"/>
              </w:rPr>
              <w:t>专业，按照传统的办学模式难以办出水平、办出特色。经云南省康旅集团和昆明理工大学津桥学院商议，决定创新办学模式，探索民办高校现代产业学院新模式建设旅游管理与服务教育专业。</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kern w:val="2"/>
                <w:sz w:val="24"/>
                <w:szCs w:val="24"/>
              </w:rPr>
            </w:pPr>
            <w:r>
              <w:rPr>
                <w:rFonts w:hint="default" w:ascii="仿宋_GB2312" w:hAnsi="等线" w:eastAsia="仿宋_GB2312" w:cs="仿宋_GB2312"/>
                <w:b/>
                <w:bCs/>
                <w:kern w:val="2"/>
                <w:sz w:val="24"/>
                <w:szCs w:val="24"/>
                <w:lang w:val="en-US" w:eastAsia="zh-CN" w:bidi="ar"/>
              </w:rPr>
              <w:t>（一）拓展办学空间条件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仿宋_GB2312" w:hAnsi="等线" w:eastAsia="仿宋_GB2312" w:cs="Times New Roman"/>
                <w:kern w:val="2"/>
                <w:sz w:val="24"/>
                <w:szCs w:val="24"/>
                <w:highlight w:val="none"/>
              </w:rPr>
            </w:pPr>
            <w:r>
              <w:rPr>
                <w:rFonts w:hint="default" w:ascii="仿宋_GB2312" w:hAnsi="等线" w:eastAsia="仿宋_GB2312" w:cs="仿宋_GB2312"/>
                <w:kern w:val="2"/>
                <w:sz w:val="24"/>
                <w:szCs w:val="24"/>
                <w:lang w:val="en-US" w:eastAsia="zh-CN" w:bidi="ar"/>
              </w:rPr>
              <w:t>办学空间由昆明理工大学津桥学院高新校区为主体，高新校区目前占</w:t>
            </w:r>
            <w:r>
              <w:rPr>
                <w:rFonts w:hint="default" w:ascii="仿宋_GB2312" w:hAnsi="等线" w:eastAsia="仿宋_GB2312" w:cs="仿宋_GB2312"/>
                <w:kern w:val="2"/>
                <w:sz w:val="24"/>
                <w:szCs w:val="24"/>
                <w:highlight w:val="none"/>
                <w:lang w:val="en-US" w:eastAsia="zh-CN" w:bidi="ar"/>
              </w:rPr>
              <w:t>地</w:t>
            </w:r>
            <w:r>
              <w:rPr>
                <w:rFonts w:hint="default" w:ascii="仿宋_GB2312" w:hAnsi="等线" w:eastAsia="仿宋_GB2312" w:cs="Times New Roman"/>
                <w:kern w:val="2"/>
                <w:sz w:val="24"/>
                <w:szCs w:val="24"/>
                <w:highlight w:val="none"/>
                <w:lang w:val="en-US" w:eastAsia="zh-CN" w:bidi="ar"/>
              </w:rPr>
              <w:t xml:space="preserve"> </w:t>
            </w:r>
            <w:r>
              <w:rPr>
                <w:rFonts w:hint="eastAsia" w:ascii="仿宋_GB2312" w:hAnsi="等线" w:eastAsia="仿宋_GB2312" w:cs="Times New Roman"/>
                <w:kern w:val="2"/>
                <w:sz w:val="24"/>
                <w:szCs w:val="24"/>
                <w:highlight w:val="none"/>
                <w:lang w:val="en-US" w:eastAsia="zh-CN" w:bidi="ar"/>
              </w:rPr>
              <w:t>606</w:t>
            </w:r>
            <w:r>
              <w:rPr>
                <w:rFonts w:hint="default" w:ascii="仿宋_GB2312" w:hAnsi="等线" w:eastAsia="仿宋_GB2312" w:cs="Times New Roman"/>
                <w:kern w:val="2"/>
                <w:sz w:val="24"/>
                <w:szCs w:val="24"/>
                <w:highlight w:val="none"/>
                <w:lang w:val="en-US" w:eastAsia="zh-CN" w:bidi="ar"/>
              </w:rPr>
              <w:t xml:space="preserve"> </w:t>
            </w:r>
            <w:r>
              <w:rPr>
                <w:rFonts w:hint="default" w:ascii="仿宋_GB2312" w:hAnsi="等线" w:eastAsia="仿宋_GB2312" w:cs="仿宋_GB2312"/>
                <w:kern w:val="2"/>
                <w:sz w:val="24"/>
                <w:szCs w:val="24"/>
                <w:highlight w:val="none"/>
                <w:lang w:val="en-US" w:eastAsia="zh-CN" w:bidi="ar"/>
              </w:rPr>
              <w:t>亩建筑面积</w:t>
            </w:r>
            <w:r>
              <w:rPr>
                <w:rFonts w:hint="default" w:ascii="仿宋_GB2312" w:hAnsi="等线" w:eastAsia="仿宋_GB2312" w:cs="Times New Roman"/>
                <w:kern w:val="2"/>
                <w:sz w:val="24"/>
                <w:szCs w:val="24"/>
                <w:highlight w:val="none"/>
                <w:lang w:val="en-US" w:eastAsia="zh-CN" w:bidi="ar"/>
              </w:rPr>
              <w:t xml:space="preserve"> </w:t>
            </w:r>
            <w:r>
              <w:rPr>
                <w:rFonts w:hint="eastAsia" w:ascii="仿宋_GB2312" w:hAnsi="等线" w:eastAsia="仿宋_GB2312" w:cs="Times New Roman"/>
                <w:kern w:val="2"/>
                <w:sz w:val="24"/>
                <w:szCs w:val="24"/>
                <w:highlight w:val="none"/>
                <w:lang w:val="en-US" w:eastAsia="zh-CN" w:bidi="ar"/>
              </w:rPr>
              <w:t>55.57万</w:t>
            </w:r>
            <w:r>
              <w:rPr>
                <w:rFonts w:hint="default" w:ascii="仿宋_GB2312" w:hAnsi="等线" w:eastAsia="仿宋_GB2312" w:cs="仿宋_GB2312"/>
                <w:kern w:val="2"/>
                <w:sz w:val="24"/>
                <w:szCs w:val="24"/>
                <w:highlight w:val="none"/>
                <w:lang w:val="en-US" w:eastAsia="zh-CN" w:bidi="ar"/>
              </w:rPr>
              <w:t>平方米，有体育馆、食堂等能够满足人才培养需求。学生大一、大二在高新校区学习基础课程，确保学生德智体美劳全面发展。三四年级学生全部到康旅集团旗下的</w:t>
            </w:r>
            <w:r>
              <w:rPr>
                <w:rFonts w:hint="eastAsia" w:ascii="仿宋_GB2312" w:hAnsi="等线" w:eastAsia="仿宋_GB2312" w:cs="仿宋_GB2312"/>
                <w:kern w:val="2"/>
                <w:sz w:val="24"/>
                <w:szCs w:val="24"/>
                <w:highlight w:val="none"/>
                <w:lang w:val="en-US" w:eastAsia="zh-CN" w:bidi="ar"/>
              </w:rPr>
              <w:t>旅游相关</w:t>
            </w:r>
            <w:r>
              <w:rPr>
                <w:rFonts w:hint="default" w:ascii="仿宋_GB2312" w:hAnsi="等线" w:eastAsia="仿宋_GB2312" w:cs="仿宋_GB2312"/>
                <w:kern w:val="2"/>
                <w:sz w:val="24"/>
                <w:szCs w:val="24"/>
                <w:highlight w:val="none"/>
                <w:lang w:val="en-US" w:eastAsia="zh-CN" w:bidi="ar"/>
              </w:rPr>
              <w:t>单位开展教学、实践、实训和科研活动。</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（二）</w:t>
            </w:r>
            <w:r>
              <w:rPr>
                <w:rFonts w:hint="eastAsia" w:ascii="仿宋_GB2312" w:hAnsi="等线" w:eastAsia="仿宋_GB2312" w:cs="仿宋_GB2312"/>
                <w:b/>
                <w:bCs/>
                <w:kern w:val="2"/>
                <w:sz w:val="24"/>
                <w:szCs w:val="24"/>
                <w:lang w:val="en-US" w:eastAsia="zh-CN" w:bidi="ar"/>
              </w:rPr>
              <w:t>优化</w:t>
            </w:r>
            <w:r>
              <w:rPr>
                <w:rFonts w:hint="default" w:ascii="仿宋_GB2312" w:hAnsi="等线" w:eastAsia="仿宋_GB2312" w:cs="仿宋_GB2312"/>
                <w:b/>
                <w:bCs/>
                <w:kern w:val="2"/>
                <w:sz w:val="24"/>
                <w:szCs w:val="24"/>
                <w:lang w:val="en-US" w:eastAsia="zh-CN" w:bidi="ar"/>
              </w:rPr>
              <w:t>资源配置</w:t>
            </w:r>
          </w:p>
          <w:p>
            <w:pPr>
              <w:pStyle w:val="19"/>
              <w:keepNext w:val="0"/>
              <w:keepLines w:val="0"/>
              <w:suppressLineNumbers w:val="0"/>
              <w:bidi w:val="0"/>
              <w:spacing w:before="0" w:beforeAutospacing="0" w:after="0" w:afterAutospacing="0"/>
              <w:ind w:left="0" w:right="0"/>
              <w:rPr>
                <w:rFonts w:hint="default" w:ascii="仿宋_GB2312" w:hAnsi="等线" w:eastAsia="仿宋_GB2312" w:cs="Times New Roman"/>
                <w:b w:val="0"/>
                <w:bCs w:val="0"/>
                <w:kern w:val="2"/>
                <w:szCs w:val="24"/>
              </w:rPr>
            </w:pPr>
            <w:r>
              <w:rPr>
                <w:rFonts w:hint="default"/>
                <w:lang w:val="en-US" w:eastAsia="zh-CN"/>
              </w:rPr>
              <w:t>旅游管理</w:t>
            </w:r>
            <w:r>
              <w:rPr>
                <w:rFonts w:hint="eastAsia"/>
                <w:lang w:val="en-US" w:eastAsia="zh-CN"/>
              </w:rPr>
              <w:t>与服务教育</w:t>
            </w:r>
            <w:r>
              <w:rPr>
                <w:rFonts w:hint="default"/>
                <w:lang w:val="en-US" w:eastAsia="zh-CN"/>
              </w:rPr>
              <w:t>专业</w:t>
            </w:r>
            <w:r>
              <w:rPr>
                <w:rFonts w:hint="eastAsia"/>
                <w:lang w:val="en-US" w:eastAsia="zh-CN"/>
              </w:rPr>
              <w:t>整合</w:t>
            </w:r>
            <w:r>
              <w:rPr>
                <w:rFonts w:hint="default"/>
                <w:lang w:val="en-US" w:eastAsia="zh-CN"/>
              </w:rPr>
              <w:t>康旅集团旗下企业</w:t>
            </w:r>
            <w:r>
              <w:rPr>
                <w:rFonts w:hint="eastAsia"/>
                <w:lang w:val="en-US" w:eastAsia="zh-CN"/>
              </w:rPr>
              <w:t>及津桥学院</w:t>
            </w:r>
            <w:r>
              <w:rPr>
                <w:rFonts w:hint="default"/>
                <w:lang w:val="en-US" w:eastAsia="zh-CN"/>
              </w:rPr>
              <w:t>现有设备，只</w:t>
            </w:r>
            <w:r>
              <w:rPr>
                <w:rFonts w:hint="eastAsia"/>
                <w:lang w:val="en-US" w:eastAsia="zh-CN"/>
              </w:rPr>
              <w:t>需</w:t>
            </w:r>
            <w:r>
              <w:rPr>
                <w:rFonts w:hint="default"/>
                <w:lang w:val="en-US" w:eastAsia="zh-CN"/>
              </w:rPr>
              <w:t>购置部分教学必需的</w:t>
            </w:r>
            <w:r>
              <w:rPr>
                <w:rFonts w:hint="eastAsia"/>
                <w:lang w:val="en-US" w:eastAsia="zh-CN"/>
              </w:rPr>
              <w:t>实训</w:t>
            </w:r>
            <w:r>
              <w:rPr>
                <w:rFonts w:hint="default"/>
                <w:lang w:val="en-US" w:eastAsia="zh-CN"/>
              </w:rPr>
              <w:t>设备，在保证办学条件的前提下适度降低办学成本，也在一定程度上</w:t>
            </w:r>
            <w:r>
              <w:rPr>
                <w:rFonts w:hint="eastAsia"/>
                <w:lang w:val="en-US" w:eastAsia="zh-CN"/>
              </w:rPr>
              <w:t>提高了</w:t>
            </w:r>
            <w:r>
              <w:rPr>
                <w:rFonts w:hint="default"/>
                <w:lang w:val="en-US" w:eastAsia="zh-CN"/>
              </w:rPr>
              <w:t>资源利用率。学校</w:t>
            </w:r>
            <w:r>
              <w:rPr>
                <w:rFonts w:hint="eastAsia"/>
                <w:lang w:val="en-US" w:eastAsia="zh-CN"/>
              </w:rPr>
              <w:t>无</w:t>
            </w:r>
            <w:r>
              <w:rPr>
                <w:rFonts w:hint="default"/>
                <w:lang w:val="en-US" w:eastAsia="zh-CN"/>
              </w:rPr>
              <w:t>需增购大量昂贵的实验设备，既</w:t>
            </w:r>
            <w:r>
              <w:rPr>
                <w:rFonts w:hint="eastAsia"/>
                <w:lang w:val="en-US" w:eastAsia="zh-CN"/>
              </w:rPr>
              <w:t>节约</w:t>
            </w:r>
            <w:r>
              <w:rPr>
                <w:rFonts w:hint="default"/>
                <w:lang w:val="en-US" w:eastAsia="zh-CN"/>
              </w:rPr>
              <w:t>了办学主体的资金，也</w:t>
            </w:r>
            <w:r>
              <w:rPr>
                <w:rFonts w:hint="eastAsia"/>
                <w:lang w:val="en-US" w:eastAsia="zh-CN"/>
              </w:rPr>
              <w:t>节约</w:t>
            </w:r>
            <w:r>
              <w:rPr>
                <w:rFonts w:hint="default"/>
                <w:lang w:val="en-US" w:eastAsia="zh-CN"/>
              </w:rPr>
              <w:t>了实验设备为维护成本</w:t>
            </w:r>
            <w:r>
              <w:rPr>
                <w:rFonts w:hint="eastAsia"/>
                <w:lang w:val="en-US" w:eastAsia="zh-CN"/>
              </w:rPr>
              <w:t>。</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lang w:val="en-US"/>
              </w:rPr>
            </w:pPr>
            <w:r>
              <w:rPr>
                <w:rFonts w:hint="default" w:ascii="仿宋_GB2312" w:hAnsi="等线" w:eastAsia="仿宋_GB2312" w:cs="仿宋_GB2312"/>
                <w:b/>
                <w:bCs/>
                <w:kern w:val="2"/>
                <w:sz w:val="24"/>
                <w:szCs w:val="24"/>
                <w:lang w:val="en-US" w:eastAsia="zh-CN" w:bidi="ar"/>
              </w:rPr>
              <w:t>（三）多元</w:t>
            </w:r>
            <w:r>
              <w:rPr>
                <w:rFonts w:hint="eastAsia" w:ascii="仿宋_GB2312" w:hAnsi="等线" w:eastAsia="仿宋_GB2312" w:cs="仿宋_GB2312"/>
                <w:b/>
                <w:bCs/>
                <w:kern w:val="2"/>
                <w:sz w:val="24"/>
                <w:szCs w:val="24"/>
                <w:lang w:val="en-US" w:eastAsia="zh-CN" w:bidi="ar"/>
              </w:rPr>
              <w:t>打造师资团队</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按照现代产业学院建设指南要求，充分发挥办学各主体的责任义务，一是依托昆明理工大学现自有思政等基础课教师、辅导员、专业基础课教师、教学管理服务人员等，确保应用型人才培养宽口径、厚基础得以保障，确保立德树人根本任务落实更加全面。二是根据需要面向昆明理工大学、云南大学、云南师范大学等省内高校采取临聘、短聘、常聘等方式遴选优秀教师加入旅游管理</w:t>
            </w:r>
            <w:r>
              <w:rPr>
                <w:rFonts w:hint="eastAsia"/>
                <w:lang w:val="en-US" w:eastAsia="zh-CN"/>
              </w:rPr>
              <w:t>与服务教育</w:t>
            </w:r>
            <w:r>
              <w:rPr>
                <w:rFonts w:hint="default"/>
                <w:lang w:val="en-US" w:eastAsia="zh-CN"/>
              </w:rPr>
              <w:t>教师团队，确保专业基础课师资力量供给。</w:t>
            </w:r>
            <w:r>
              <w:rPr>
                <w:rFonts w:hint="eastAsia"/>
                <w:lang w:val="en-US" w:eastAsia="zh-CN"/>
              </w:rPr>
              <w:t>三是</w:t>
            </w:r>
            <w:r>
              <w:rPr>
                <w:rFonts w:hint="default"/>
                <w:lang w:val="en-US" w:eastAsia="zh-CN"/>
              </w:rPr>
              <w:t>提高旅游管理</w:t>
            </w:r>
            <w:r>
              <w:rPr>
                <w:rFonts w:hint="eastAsia"/>
                <w:lang w:val="en-US" w:eastAsia="zh-CN"/>
              </w:rPr>
              <w:t>与服务教育</w:t>
            </w:r>
            <w:r>
              <w:rPr>
                <w:rFonts w:hint="default"/>
                <w:lang w:val="en-US" w:eastAsia="zh-CN"/>
              </w:rPr>
              <w:t>专业人才培养质量，强化人才培养的应用能力、创新精神、开拓意识的培养，学校将依托云南康旅集团的强大高管队伍，计划开出数门管理类实践课，形成“专业+管理”的应用型人才培养。</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（四）创构民办高校现代产业学院新模式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仿宋_GB2312" w:hAnsi="宋体" w:eastAsia="仿宋_GB2312" w:cs="仿宋_GB2312"/>
                <w:i w:val="0"/>
                <w:iCs w:val="0"/>
                <w:caps w:val="0"/>
                <w:color w:val="auto"/>
                <w:spacing w:val="0"/>
                <w:kern w:val="2"/>
                <w:sz w:val="24"/>
                <w:szCs w:val="24"/>
                <w:lang w:val="en-US" w:eastAsia="zh-CN" w:bidi="ar"/>
              </w:rPr>
            </w:pPr>
            <w:r>
              <w:rPr>
                <w:rFonts w:hint="default" w:ascii="仿宋_GB2312" w:hAnsi="等线" w:eastAsia="仿宋_GB2312" w:cs="仿宋_GB2312"/>
                <w:b w:val="0"/>
                <w:bCs w:val="0"/>
                <w:spacing w:val="0"/>
                <w:kern w:val="2"/>
                <w:sz w:val="24"/>
                <w:szCs w:val="24"/>
                <w:lang w:val="en-US" w:eastAsia="zh-CN" w:bidi="ar"/>
              </w:rPr>
              <w:t>昆明理工大学津桥学院的投资主体是云南康旅集团，学院与云南康旅集团旗下公司开展共建现代产业学院有其他民办高校不可比拟的优势，学校将坚持以学生为中心，贯彻产出导向的育人理念，落实持续改进的质量意识，将津桥学院康旅现代产业学院建设成为云南样板、民办高校案例。</w:t>
            </w:r>
            <w:r>
              <w:rPr>
                <w:rFonts w:hint="default" w:ascii="仿宋_GB2312" w:hAnsi="等线" w:eastAsia="仿宋_GB2312" w:cs="仿宋_GB2312"/>
                <w:b/>
                <w:bCs/>
                <w:spacing w:val="0"/>
                <w:kern w:val="2"/>
                <w:sz w:val="24"/>
                <w:szCs w:val="24"/>
                <w:lang w:val="en-US" w:eastAsia="zh-CN" w:bidi="ar"/>
              </w:rPr>
              <w:t>一是探索分段培养制度</w:t>
            </w:r>
            <w:r>
              <w:rPr>
                <w:rFonts w:hint="default" w:ascii="仿宋_GB2312" w:hAnsi="等线" w:eastAsia="仿宋_GB2312" w:cs="仿宋_GB2312"/>
                <w:b w:val="0"/>
                <w:bCs w:val="0"/>
                <w:spacing w:val="0"/>
                <w:kern w:val="2"/>
                <w:sz w:val="24"/>
                <w:szCs w:val="24"/>
                <w:lang w:val="en-US" w:eastAsia="zh-CN" w:bidi="ar"/>
              </w:rPr>
              <w:t>，即一二年级基础课程教学以学校为基础和主体，主要在学校开展教学活动，三四年级以专业课程及实践实习课程以企业为基础和主体，主要在相关企业开展教学和实践活动。</w:t>
            </w:r>
            <w:r>
              <w:rPr>
                <w:rFonts w:hint="default" w:ascii="仿宋_GB2312" w:hAnsi="等线" w:eastAsia="仿宋_GB2312" w:cs="仿宋_GB2312"/>
                <w:b/>
                <w:bCs/>
                <w:spacing w:val="0"/>
                <w:kern w:val="2"/>
                <w:sz w:val="24"/>
                <w:szCs w:val="24"/>
                <w:lang w:val="en-US" w:eastAsia="zh-CN" w:bidi="ar"/>
              </w:rPr>
              <w:t>二是探索课程建设新机制</w:t>
            </w:r>
            <w:r>
              <w:rPr>
                <w:rFonts w:hint="default" w:ascii="仿宋_GB2312" w:hAnsi="等线" w:eastAsia="仿宋_GB2312" w:cs="仿宋_GB2312"/>
                <w:b w:val="0"/>
                <w:bCs w:val="0"/>
                <w:spacing w:val="0"/>
                <w:kern w:val="2"/>
                <w:sz w:val="24"/>
                <w:szCs w:val="24"/>
                <w:lang w:val="en-US" w:eastAsia="zh-CN" w:bidi="ar"/>
              </w:rPr>
              <w:t>，基础课程建设充分吸纳校内师资、省内高校优秀教师和企业教师共建，建设一批坚持产出导向的民办高校基础课程。专业课程建设以康养集团旗下企业专家为主，打造课程负责人“双师制”即“企业专业+学校教师”的模式共建课程，在满足国家专业培养标准的基础上，专业课程教学内容充分融入区域行业在旅游管理</w:t>
            </w:r>
            <w:r>
              <w:rPr>
                <w:rFonts w:hint="eastAsia" w:ascii="仿宋_GB2312" w:hAnsi="等线" w:eastAsia="仿宋_GB2312" w:cs="仿宋_GB2312"/>
                <w:b w:val="0"/>
                <w:bCs w:val="0"/>
                <w:spacing w:val="0"/>
                <w:kern w:val="2"/>
                <w:sz w:val="24"/>
                <w:szCs w:val="24"/>
                <w:lang w:val="en-US" w:eastAsia="zh-CN" w:bidi="ar"/>
              </w:rPr>
              <w:t>与服务教育</w:t>
            </w:r>
            <w:r>
              <w:rPr>
                <w:rFonts w:hint="default" w:ascii="仿宋_GB2312" w:hAnsi="等线" w:eastAsia="仿宋_GB2312" w:cs="仿宋_GB2312"/>
                <w:b w:val="0"/>
                <w:bCs w:val="0"/>
                <w:spacing w:val="0"/>
                <w:kern w:val="2"/>
                <w:sz w:val="24"/>
                <w:szCs w:val="24"/>
                <w:lang w:val="en-US" w:eastAsia="zh-CN" w:bidi="ar"/>
              </w:rPr>
              <w:t>的研究成果、实践成果，打造基于应用的旅游管理</w:t>
            </w:r>
            <w:r>
              <w:rPr>
                <w:rFonts w:hint="eastAsia" w:ascii="仿宋_GB2312" w:hAnsi="等线" w:eastAsia="仿宋_GB2312" w:cs="仿宋_GB2312"/>
                <w:b w:val="0"/>
                <w:bCs w:val="0"/>
                <w:spacing w:val="0"/>
                <w:kern w:val="2"/>
                <w:sz w:val="24"/>
                <w:szCs w:val="24"/>
                <w:lang w:val="en-US" w:eastAsia="zh-CN" w:bidi="ar"/>
              </w:rPr>
              <w:t>与服务教育特色</w:t>
            </w:r>
            <w:r>
              <w:rPr>
                <w:rFonts w:hint="default" w:ascii="仿宋_GB2312" w:hAnsi="等线" w:eastAsia="仿宋_GB2312" w:cs="仿宋_GB2312"/>
                <w:b w:val="0"/>
                <w:bCs w:val="0"/>
                <w:spacing w:val="0"/>
                <w:kern w:val="2"/>
                <w:sz w:val="24"/>
                <w:szCs w:val="24"/>
                <w:lang w:val="en-US" w:eastAsia="zh-CN" w:bidi="ar"/>
              </w:rPr>
              <w:t>课程体系</w:t>
            </w:r>
            <w:r>
              <w:rPr>
                <w:rFonts w:hint="default" w:ascii="仿宋_GB2312" w:hAnsi="等线" w:eastAsia="仿宋_GB2312" w:cs="仿宋_GB2312"/>
                <w:b w:val="0"/>
                <w:bCs w:val="0"/>
                <w:color w:val="auto"/>
                <w:spacing w:val="0"/>
                <w:kern w:val="2"/>
                <w:sz w:val="24"/>
                <w:szCs w:val="24"/>
                <w:lang w:val="en-US" w:eastAsia="zh-CN" w:bidi="ar"/>
              </w:rPr>
              <w:t>。</w:t>
            </w:r>
            <w:r>
              <w:rPr>
                <w:rFonts w:hint="default" w:ascii="仿宋_GB2312" w:hAnsi="等线" w:eastAsia="仿宋_GB2312" w:cs="仿宋_GB2312"/>
                <w:b/>
                <w:bCs/>
                <w:color w:val="auto"/>
                <w:spacing w:val="0"/>
                <w:kern w:val="2"/>
                <w:sz w:val="24"/>
                <w:szCs w:val="24"/>
                <w:lang w:val="en-US" w:eastAsia="zh-CN" w:bidi="ar"/>
              </w:rPr>
              <w:t>三是构建产业学院教学新模式，</w:t>
            </w:r>
            <w:r>
              <w:rPr>
                <w:rFonts w:hint="default" w:ascii="仿宋_GB2312" w:hAnsi="等线" w:eastAsia="仿宋_GB2312" w:cs="仿宋_GB2312"/>
                <w:b w:val="0"/>
                <w:bCs w:val="0"/>
                <w:color w:val="auto"/>
                <w:spacing w:val="0"/>
                <w:kern w:val="2"/>
                <w:sz w:val="24"/>
                <w:szCs w:val="24"/>
                <w:lang w:val="en-US" w:eastAsia="zh-CN" w:bidi="ar"/>
              </w:rPr>
              <w:t>以学生应用能力形成为导向，大部门专业课程实行现场</w:t>
            </w:r>
            <w:r>
              <w:rPr>
                <w:rFonts w:hint="default" w:ascii="仿宋_GB2312" w:hAnsi="宋体" w:eastAsia="仿宋_GB2312" w:cs="仿宋_GB2312"/>
                <w:i w:val="0"/>
                <w:iCs w:val="0"/>
                <w:caps w:val="0"/>
                <w:color w:val="auto"/>
                <w:spacing w:val="0"/>
                <w:kern w:val="2"/>
                <w:sz w:val="24"/>
                <w:szCs w:val="24"/>
                <w:lang w:val="en-US" w:eastAsia="zh-CN" w:bidi="ar"/>
              </w:rPr>
              <w:t>进启发式、实验室探究式等教学方法改革和合作式，采取任务式、项目式、实操教学等培养模式综合改革，让学生课堂作业来源于生产现场，现场教学集聚理论教学与实践教学为一体，毕业论文毕业设计选题来源于企业生产一线，确保现代产业学院毕业生符合社会需求。</w:t>
            </w:r>
          </w:p>
          <w:p>
            <w:pPr>
              <w:keepNext w:val="0"/>
              <w:keepLines w:val="0"/>
              <w:widowControl w:val="0"/>
              <w:numPr>
                <w:ilvl w:val="0"/>
                <w:numId w:val="0"/>
              </w:numPr>
              <w:suppressLineNumbers w:val="0"/>
              <w:spacing w:before="0" w:beforeAutospacing="0" w:after="0" w:afterAutospacing="0" w:line="360" w:lineRule="auto"/>
              <w:ind w:left="148" w:leftChars="0" w:right="0" w:rightChars="0" w:firstLine="482" w:firstLineChars="0"/>
              <w:jc w:val="left"/>
              <w:rPr>
                <w:rFonts w:hint="eastAsia" w:ascii="仿宋_GB2312" w:hAnsi="宋体" w:eastAsia="仿宋_GB2312" w:cs="仿宋_GB2312"/>
                <w:b/>
                <w:bCs/>
                <w:i w:val="0"/>
                <w:iCs w:val="0"/>
                <w:caps w:val="0"/>
                <w:color w:val="auto"/>
                <w:spacing w:val="0"/>
                <w:kern w:val="2"/>
                <w:sz w:val="24"/>
                <w:szCs w:val="24"/>
                <w:lang w:val="en-US" w:eastAsia="zh-CN" w:bidi="ar"/>
              </w:rPr>
            </w:pPr>
            <w:r>
              <w:rPr>
                <w:rFonts w:hint="eastAsia" w:ascii="仿宋_GB2312" w:hAnsi="宋体" w:eastAsia="仿宋_GB2312" w:cs="仿宋_GB2312"/>
                <w:b/>
                <w:bCs/>
                <w:i w:val="0"/>
                <w:iCs w:val="0"/>
                <w:caps w:val="0"/>
                <w:color w:val="auto"/>
                <w:spacing w:val="0"/>
                <w:kern w:val="2"/>
                <w:sz w:val="24"/>
                <w:szCs w:val="24"/>
                <w:lang w:val="en-US" w:eastAsia="zh-CN" w:bidi="ar"/>
              </w:rPr>
              <w:t>五、人才需求预测</w:t>
            </w:r>
          </w:p>
          <w:p>
            <w:pPr>
              <w:keepNext w:val="0"/>
              <w:keepLines w:val="0"/>
              <w:widowControl w:val="0"/>
              <w:numPr>
                <w:ilvl w:val="0"/>
                <w:numId w:val="0"/>
              </w:numPr>
              <w:suppressLineNumbers w:val="0"/>
              <w:spacing w:before="0" w:beforeAutospacing="0" w:after="0" w:afterAutospacing="0" w:line="360" w:lineRule="auto"/>
              <w:ind w:left="0" w:right="0" w:rightChars="0" w:firstLine="482" w:firstLineChars="200"/>
              <w:jc w:val="left"/>
              <w:rPr>
                <w:rFonts w:hint="default" w:ascii="仿宋_GB2312" w:hAnsi="宋体" w:eastAsia="仿宋_GB2312" w:cs="仿宋_GB2312"/>
                <w:b/>
                <w:bCs/>
                <w:i w:val="0"/>
                <w:iCs w:val="0"/>
                <w:caps w:val="0"/>
                <w:color w:val="auto"/>
                <w:spacing w:val="0"/>
                <w:kern w:val="2"/>
                <w:sz w:val="24"/>
                <w:szCs w:val="24"/>
                <w:lang w:val="en-US" w:eastAsia="zh-CN" w:bidi="ar"/>
              </w:rPr>
            </w:pPr>
            <w:r>
              <w:rPr>
                <w:rFonts w:hint="eastAsia" w:ascii="仿宋_GB2312" w:hAnsi="宋体" w:eastAsia="仿宋_GB2312" w:cs="仿宋_GB2312"/>
                <w:b/>
                <w:bCs/>
                <w:i w:val="0"/>
                <w:iCs w:val="0"/>
                <w:caps w:val="0"/>
                <w:color w:val="auto"/>
                <w:spacing w:val="0"/>
                <w:kern w:val="2"/>
                <w:sz w:val="24"/>
                <w:szCs w:val="24"/>
                <w:lang w:val="en-US" w:eastAsia="zh-CN" w:bidi="ar"/>
              </w:rPr>
              <w:t>（一）</w:t>
            </w:r>
            <w:r>
              <w:rPr>
                <w:rFonts w:hint="default" w:ascii="仿宋_GB2312" w:hAnsi="宋体" w:eastAsia="仿宋_GB2312" w:cs="仿宋_GB2312"/>
                <w:b/>
                <w:bCs/>
                <w:i w:val="0"/>
                <w:iCs w:val="0"/>
                <w:caps w:val="0"/>
                <w:color w:val="auto"/>
                <w:spacing w:val="0"/>
                <w:kern w:val="2"/>
                <w:sz w:val="24"/>
                <w:szCs w:val="24"/>
                <w:lang w:val="en-US" w:eastAsia="zh-CN" w:bidi="ar"/>
              </w:rPr>
              <w:t>旅游产业对高质量人才的需求调研</w:t>
            </w:r>
          </w:p>
          <w:p>
            <w:pPr>
              <w:pStyle w:val="19"/>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进入新时代，面对新形态，旅游既是拉动内需、繁荣市场、扩大就业、畅通国内大循环的重要内容，也是促进国内国际双循环的重要桥梁和纽带，旅游业占GDP的比例逐年上升，已从2005年的5%上升到2020年的11%。近年来，云南省将文旅业作为重点产业、万亿级支柱产业来打造，大力推进旅游产品创新业态创新，全省旅游总收入在2019年迈上万亿元台阶。“数据统计显示，云南旅游主要指标实现较快增长，旅游业总收入从2012年的1703亿元增加到2019年的11035亿元，年均增长30.6%;旅游业增加值由2012年的655亿元增加到2019年的1778亿元，年均增长15.3%，占全省国内生产总值的比重由6.4%提高到7.7%。旅游业的快速发展导致了对旅游人才的迫切需求，国家旅游局曾指出，到2020年，全国旅游业所需人员将达2700-3000万人，从年度旅游专业人才需求来看，市场每年需求旅游相关专业人才100万人，而通过各级、各类学校培养的人才为10万人，专业人才缺口较大。同时，随着生态旅游、乡村旅游、文化与旅游融合、数字旅游等新兴业态快速发展，对复合型旅游人才的需求进一步提升。</w:t>
            </w:r>
          </w:p>
          <w:p>
            <w:pPr>
              <w:keepNext w:val="0"/>
              <w:keepLines w:val="0"/>
              <w:widowControl w:val="0"/>
              <w:numPr>
                <w:ilvl w:val="0"/>
                <w:numId w:val="0"/>
              </w:numPr>
              <w:suppressLineNumbers w:val="0"/>
              <w:spacing w:before="0" w:beforeAutospacing="0" w:after="0" w:afterAutospacing="0" w:line="360" w:lineRule="auto"/>
              <w:ind w:left="420" w:leftChars="200" w:right="0" w:rightChars="0"/>
              <w:jc w:val="left"/>
              <w:rPr>
                <w:rFonts w:hint="default" w:ascii="仿宋_GB2312" w:hAnsi="宋体" w:eastAsia="仿宋_GB2312" w:cs="仿宋_GB2312"/>
                <w:b w:val="0"/>
                <w:bCs w:val="0"/>
                <w:i w:val="0"/>
                <w:iCs w:val="0"/>
                <w:caps w:val="0"/>
                <w:color w:val="auto"/>
                <w:spacing w:val="0"/>
                <w:kern w:val="2"/>
                <w:sz w:val="24"/>
                <w:szCs w:val="24"/>
                <w:lang w:val="en-US" w:eastAsia="zh-CN" w:bidi="ar"/>
              </w:rPr>
            </w:pPr>
            <w:r>
              <w:rPr>
                <w:rFonts w:hint="eastAsia" w:ascii="仿宋_GB2312" w:hAnsi="宋体" w:eastAsia="仿宋_GB2312" w:cs="仿宋_GB2312"/>
                <w:b/>
                <w:bCs/>
                <w:i w:val="0"/>
                <w:iCs w:val="0"/>
                <w:caps w:val="0"/>
                <w:color w:val="auto"/>
                <w:spacing w:val="0"/>
                <w:kern w:val="2"/>
                <w:sz w:val="24"/>
                <w:szCs w:val="24"/>
                <w:lang w:val="en-US" w:eastAsia="zh-CN" w:bidi="ar"/>
              </w:rPr>
              <w:t>（二）</w:t>
            </w:r>
            <w:r>
              <w:rPr>
                <w:rFonts w:hint="default" w:ascii="仿宋_GB2312" w:hAnsi="宋体" w:eastAsia="仿宋_GB2312" w:cs="仿宋_GB2312"/>
                <w:b/>
                <w:bCs/>
                <w:i w:val="0"/>
                <w:iCs w:val="0"/>
                <w:caps w:val="0"/>
                <w:color w:val="auto"/>
                <w:spacing w:val="0"/>
                <w:kern w:val="2"/>
                <w:sz w:val="24"/>
                <w:szCs w:val="24"/>
                <w:lang w:val="en-US" w:eastAsia="zh-CN" w:bidi="ar"/>
              </w:rPr>
              <w:t>区域旅游管理人才需求的研判</w:t>
            </w:r>
          </w:p>
          <w:p>
            <w:pPr>
              <w:pStyle w:val="19"/>
              <w:keepNext w:val="0"/>
              <w:keepLines w:val="0"/>
              <w:suppressLineNumbers w:val="0"/>
              <w:bidi w:val="0"/>
              <w:spacing w:before="0" w:beforeAutospacing="0" w:after="0" w:afterAutospacing="0"/>
              <w:ind w:left="0" w:right="0"/>
              <w:rPr>
                <w:rFonts w:hint="default" w:ascii="仿宋_GB2312" w:hAnsi="宋体" w:eastAsia="仿宋_GB2312" w:cs="仿宋_GB2312"/>
                <w:b w:val="0"/>
                <w:bCs w:val="0"/>
                <w:i w:val="0"/>
                <w:iCs w:val="0"/>
                <w:caps w:val="0"/>
                <w:color w:val="auto"/>
                <w:spacing w:val="0"/>
                <w:kern w:val="2"/>
                <w:szCs w:val="24"/>
                <w:lang w:val="en-US" w:eastAsia="zh-CN" w:bidi="ar"/>
              </w:rPr>
            </w:pPr>
            <w:r>
              <w:rPr>
                <w:rFonts w:hint="default"/>
                <w:lang w:val="en-US" w:eastAsia="zh-CN"/>
              </w:rPr>
              <w:t>从新专业申报人才需求出发，先后调研</w:t>
            </w:r>
            <w:r>
              <w:rPr>
                <w:rFonts w:hint="eastAsia"/>
                <w:lang w:val="en-US" w:eastAsia="zh-CN"/>
              </w:rPr>
              <w:t>云南省文旅厅、</w:t>
            </w:r>
            <w:r>
              <w:rPr>
                <w:rFonts w:hint="default"/>
                <w:lang w:val="en-US" w:eastAsia="zh-CN"/>
              </w:rPr>
              <w:t>昆明市文旅局，了解掌握全市旅游业发展概况、旅游主体发展以及旅游人才供需状况；二是云南省康旅控股集团有限公司、昆明国旅、海外国旅等区域旅游头部企业，调研上述企业对旅游业专业人才需求。通过调研充分了解了区域旅游管理相关专业人才需求状况，包括人才需求的数量、人才需求结构甚至旅游人才复合型技能结构等，同时，与部分企事业单位签订了人才培养合作协议，为新专业开设及后续人才培养奠定基础。</w:t>
            </w: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r>
              <w:rPr>
                <w:rFonts w:hint="default" w:eastAsia="仿宋_GB2312"/>
                <w:sz w:val="24"/>
              </w:rPr>
              <w:t xml:space="preserve">                </w:t>
            </w:r>
          </w:p>
        </w:tc>
      </w:tr>
    </w:tbl>
    <w:p>
      <w:pPr>
        <w:spacing w:line="0" w:lineRule="atLeast"/>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8" w:hRule="atLeast"/>
          <w:jc w:val="center"/>
        </w:trPr>
        <w:tc>
          <w:tcPr>
            <w:tcW w:w="8820"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一、</w:t>
            </w:r>
            <w:r>
              <w:rPr>
                <w:rFonts w:hint="default" w:ascii="仿宋_GB2312" w:hAnsi="等线" w:eastAsia="仿宋_GB2312" w:cs="仿宋_GB2312"/>
                <w:b/>
                <w:bCs/>
                <w:spacing w:val="-4"/>
                <w:kern w:val="2"/>
                <w:sz w:val="24"/>
                <w:szCs w:val="24"/>
                <w:lang w:val="en-US" w:eastAsia="zh-CN" w:bidi="ar"/>
              </w:rPr>
              <w:t>培养目标</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64" w:firstLineChars="200"/>
              <w:jc w:val="left"/>
              <w:textAlignment w:val="auto"/>
              <w:rPr>
                <w:rFonts w:hint="default" w:ascii="仿宋_GB2312" w:hAnsi="等线" w:eastAsia="仿宋_GB2312" w:cs="仿宋_GB2312"/>
                <w:b w:val="0"/>
                <w:bCs w:val="0"/>
                <w:spacing w:val="-4"/>
                <w:kern w:val="2"/>
                <w:sz w:val="24"/>
                <w:szCs w:val="24"/>
                <w:lang w:val="en-US" w:eastAsia="zh-CN" w:bidi="ar"/>
              </w:rPr>
            </w:pPr>
            <w:r>
              <w:rPr>
                <w:rFonts w:hint="default" w:ascii="仿宋_GB2312" w:hAnsi="等线" w:eastAsia="仿宋_GB2312" w:cs="仿宋_GB2312"/>
                <w:b w:val="0"/>
                <w:bCs w:val="0"/>
                <w:spacing w:val="-4"/>
                <w:kern w:val="2"/>
                <w:sz w:val="24"/>
                <w:szCs w:val="24"/>
                <w:lang w:val="en-US" w:eastAsia="zh-CN" w:bidi="ar"/>
              </w:rPr>
              <w:t>本专业旨在培养德、智、体全面发展，掌握旅游管理专业理论与行业技能、在康养旅游、乡村旅游领域具有突出优势，能在企事业单位和各级文旅部门从事运营管理、规划、培训、教育等工作，并具有较强的学习能力、交流能力、实践能力、创业能力、社会适应能力，以及良好的职业道德和创新精神，能够面向老龄化社会发展和老年公共事业管理、服务一线的高素质管理人才，满足文旅产业发展需要的高素质复合应用型专业人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default" w:ascii="仿宋_GB2312" w:hAnsi="等线" w:eastAsia="仿宋_GB2312" w:cs="仿宋_GB2312"/>
                <w:b/>
                <w:bCs/>
                <w:spacing w:val="-4"/>
                <w:kern w:val="2"/>
                <w:sz w:val="24"/>
                <w:szCs w:val="24"/>
                <w:lang w:val="en-US" w:eastAsia="zh-CN" w:bidi="ar"/>
              </w:rPr>
              <w:t>二、培养要求</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（一）素质要求</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1.热爱祖国，遵纪守法，具有诚信、守法、敬业、宽容、合作等基本素养，拥有科学的世界观与正确的人生观；</w:t>
            </w:r>
          </w:p>
          <w:p>
            <w:pPr>
              <w:pStyle w:val="19"/>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2.熟悉旅游行业基本方针、政策和法规，能够独立进行业务的处理；</w:t>
            </w:r>
          </w:p>
          <w:p>
            <w:pPr>
              <w:pStyle w:val="19"/>
              <w:keepNext w:val="0"/>
              <w:keepLines w:val="0"/>
              <w:suppressLineNumbers w:val="0"/>
              <w:bidi w:val="0"/>
              <w:spacing w:before="0" w:beforeAutospacing="0" w:after="0" w:afterAutospacing="0"/>
              <w:ind w:left="0" w:right="0"/>
              <w:rPr>
                <w:rFonts w:hint="default"/>
              </w:rPr>
            </w:pPr>
            <w:r>
              <w:rPr>
                <w:rFonts w:hint="eastAsia"/>
                <w:lang w:val="en-US" w:eastAsia="zh-CN"/>
              </w:rPr>
              <w:t>3</w:t>
            </w:r>
            <w:r>
              <w:rPr>
                <w:rFonts w:hint="default"/>
                <w:lang w:val="en-US" w:eastAsia="zh-CN"/>
              </w:rPr>
              <w:t>了解旅游学科的前沿理论、发展动态和最新成果，具有较为全面的现代科学知识和意识，能够运用科学方法从事旅游经营管理、旅游教育教学工作；</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（二）知识结构要求</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1.掌握旅游教育教学专业知识，熟悉旅游服务职业技术教育课程改革的新理念、新内容和新方法；</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2.掌握人力资源管理相关知识，在实际工作中运用所学理论、方法和技术，解决具体问题；</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3.掌握旅游管理基本理论和基本知识，了解旅游业发展动态，掌握旅游行业具体的业务，熟悉旅游三大产业部门以及各部门内部、外部运行的理论、知识、方法和规律。</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（三）专业能力要求</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1.熟练掌握旅游科学的基本知识和基本技能，具有较强的分析问题，解决问题的能力，掌握旅游管理与服务问题研究的定性和定量分析方法及文献检索、资料查询方法，具有一定的科学研究和实际工作能力；</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2.熟悉教育法规，掌握教育教学规律，具有较好的教学技能和良好的语言表达能力，普通话规范、准确</w:t>
            </w:r>
            <w:r>
              <w:rPr>
                <w:rFonts w:hint="eastAsia"/>
                <w:lang w:val="en-US" w:eastAsia="zh-CN"/>
              </w:rPr>
              <w:t>；</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3.具备较强的文字处理能力，能比较规范地应用中英文进行各种应用文体的写作；</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4.社交能力培养，了解必要的社交礼仪，掌握一定的商业谈判和社交技巧等公关能力。</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default" w:ascii="仿宋_GB2312" w:hAnsi="等线" w:eastAsia="仿宋_GB2312" w:cs="仿宋_GB2312"/>
                <w:b/>
                <w:bCs/>
                <w:spacing w:val="-4"/>
                <w:kern w:val="2"/>
                <w:sz w:val="24"/>
                <w:szCs w:val="24"/>
                <w:lang w:val="en-US" w:eastAsia="zh-CN" w:bidi="ar"/>
              </w:rPr>
              <w:t>三、学制与授予学位</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1.学制四年；修业年限 3-6年</w:t>
            </w:r>
          </w:p>
          <w:p>
            <w:pPr>
              <w:pStyle w:val="19"/>
              <w:keepNext w:val="0"/>
              <w:keepLines w:val="0"/>
              <w:suppressLineNumbers w:val="0"/>
              <w:bidi w:val="0"/>
              <w:spacing w:before="0" w:beforeAutospacing="0" w:after="0" w:afterAutospacing="0"/>
              <w:ind w:left="0" w:right="0"/>
              <w:rPr>
                <w:rFonts w:hint="default"/>
              </w:rPr>
            </w:pPr>
            <w:r>
              <w:rPr>
                <w:rFonts w:hint="default"/>
                <w:lang w:val="en-US" w:eastAsia="zh-CN"/>
              </w:rPr>
              <w:t>2.</w:t>
            </w:r>
            <w:r>
              <w:rPr>
                <w:rFonts w:hint="eastAsia"/>
                <w:lang w:val="en-US" w:eastAsia="zh-CN"/>
              </w:rPr>
              <w:t>管理学</w:t>
            </w:r>
            <w:r>
              <w:rPr>
                <w:rFonts w:hint="default"/>
                <w:lang w:val="en-US" w:eastAsia="zh-CN"/>
              </w:rPr>
              <w:t>学士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default" w:ascii="仿宋_GB2312" w:hAnsi="等线" w:eastAsia="仿宋_GB2312" w:cs="仿宋_GB2312"/>
                <w:b/>
                <w:bCs/>
                <w:spacing w:val="-4"/>
                <w:kern w:val="2"/>
                <w:sz w:val="24"/>
                <w:szCs w:val="24"/>
                <w:lang w:val="en-US" w:eastAsia="zh-CN" w:bidi="ar"/>
              </w:rPr>
              <w:t>四、学分要求</w:t>
            </w:r>
          </w:p>
          <w:p>
            <w:pPr>
              <w:pStyle w:val="19"/>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 xml:space="preserve">最低毕业学分为  </w:t>
            </w:r>
            <w:r>
              <w:rPr>
                <w:rFonts w:hint="eastAsia"/>
                <w:lang w:val="en-US" w:eastAsia="zh-CN"/>
              </w:rPr>
              <w:t>160</w:t>
            </w:r>
            <w:r>
              <w:rPr>
                <w:rFonts w:hint="default"/>
                <w:lang w:val="en-US" w:eastAsia="zh-CN"/>
              </w:rPr>
              <w:t xml:space="preserve"> 学分，共计</w:t>
            </w:r>
            <w:r>
              <w:rPr>
                <w:rFonts w:hint="eastAsia"/>
                <w:lang w:val="en-US" w:eastAsia="zh-CN"/>
              </w:rPr>
              <w:t>3011</w:t>
            </w:r>
            <w:r>
              <w:rPr>
                <w:rFonts w:hint="default"/>
                <w:lang w:val="en-US" w:eastAsia="zh-CN"/>
              </w:rPr>
              <w:t>学时。</w:t>
            </w:r>
          </w:p>
          <w:p>
            <w:pPr>
              <w:pStyle w:val="19"/>
              <w:keepNext w:val="0"/>
              <w:keepLines w:val="0"/>
              <w:suppressLineNumbers w:val="0"/>
              <w:bidi w:val="0"/>
              <w:spacing w:before="0" w:beforeAutospacing="0" w:after="0" w:afterAutospacing="0"/>
              <w:ind w:left="0" w:leftChars="0" w:right="0" w:firstLine="0" w:firstLineChars="0"/>
              <w:rPr>
                <w:rFonts w:hint="default"/>
                <w:b/>
                <w:bCs/>
                <w:lang w:val="en-US" w:eastAsia="zh-CN"/>
              </w:rPr>
            </w:pPr>
            <w:r>
              <w:rPr>
                <w:rFonts w:hint="eastAsia"/>
                <w:b/>
                <w:bCs/>
                <w:lang w:val="en-US" w:eastAsia="zh-CN"/>
              </w:rPr>
              <w:t>五、课程结构比例表</w:t>
            </w:r>
          </w:p>
          <w:tbl>
            <w:tblPr>
              <w:tblStyle w:val="13"/>
              <w:tblW w:w="8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07"/>
              <w:gridCol w:w="2074"/>
              <w:gridCol w:w="72"/>
              <w:gridCol w:w="981"/>
              <w:gridCol w:w="1116"/>
              <w:gridCol w:w="1633"/>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44" w:hRule="atLeast"/>
                <w:jc w:val="center"/>
              </w:trPr>
              <w:tc>
                <w:tcPr>
                  <w:tcW w:w="707" w:type="dxa"/>
                  <w:shd w:val="clear" w:color="auto" w:fill="auto"/>
                  <w:vAlign w:val="center"/>
                </w:tcPr>
                <w:p>
                  <w:pPr>
                    <w:keepNext w:val="0"/>
                    <w:keepLines w:val="0"/>
                    <w:widowControl w:val="0"/>
                    <w:suppressLineNumbers w:val="0"/>
                    <w:autoSpaceDE w:val="0"/>
                    <w:autoSpaceDN w:val="0"/>
                    <w:spacing w:before="0" w:beforeAutospacing="0" w:after="0" w:afterAutospacing="0" w:line="316"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9" w:beforeAutospacing="0" w:after="0" w:afterAutospacing="0"/>
                    <w:ind w:left="143"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zh-CN" w:bidi="ar"/>
                    </w:rPr>
                    <w:t>课程</w:t>
                  </w:r>
                  <w:r>
                    <w:rPr>
                      <w:rFonts w:hint="eastAsia" w:ascii="仿宋_GB2312" w:hAnsi="仿宋_GB2312" w:eastAsia="仿宋_GB2312" w:cs="仿宋_GB2312"/>
                      <w:color w:val="000000"/>
                      <w:spacing w:val="-2"/>
                      <w:kern w:val="0"/>
                      <w:sz w:val="18"/>
                      <w:szCs w:val="18"/>
                      <w:vertAlign w:val="baseline"/>
                      <w:lang w:val="en-US" w:eastAsia="en-US" w:bidi="ar"/>
                    </w:rPr>
                    <w:t>体系</w:t>
                  </w:r>
                </w:p>
              </w:tc>
              <w:tc>
                <w:tcPr>
                  <w:tcW w:w="3127" w:type="dxa"/>
                  <w:gridSpan w:val="3"/>
                  <w:shd w:val="clear" w:color="auto" w:fill="auto"/>
                  <w:vAlign w:val="center"/>
                </w:tcPr>
                <w:p>
                  <w:pPr>
                    <w:keepNext w:val="0"/>
                    <w:keepLines w:val="0"/>
                    <w:widowControl w:val="0"/>
                    <w:suppressLineNumbers w:val="0"/>
                    <w:autoSpaceDE w:val="0"/>
                    <w:autoSpaceDN w:val="0"/>
                    <w:spacing w:before="0" w:beforeAutospacing="0" w:after="0" w:afterAutospacing="0" w:line="316"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8" w:beforeAutospacing="0" w:after="0" w:afterAutospacing="0"/>
                    <w:ind w:left="1192"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4"/>
                      <w:kern w:val="0"/>
                      <w:sz w:val="18"/>
                      <w:szCs w:val="18"/>
                      <w:vertAlign w:val="baseline"/>
                      <w:lang w:val="en-US" w:eastAsia="en-US" w:bidi="ar"/>
                    </w:rPr>
                    <w:t>模</w:t>
                  </w:r>
                  <w:r>
                    <w:rPr>
                      <w:rFonts w:hint="eastAsia" w:ascii="仿宋_GB2312" w:hAnsi="仿宋_GB2312" w:eastAsia="仿宋_GB2312" w:cs="仿宋_GB2312"/>
                      <w:color w:val="000000"/>
                      <w:spacing w:val="8"/>
                      <w:kern w:val="0"/>
                      <w:sz w:val="18"/>
                      <w:szCs w:val="18"/>
                      <w:vertAlign w:val="baseline"/>
                      <w:lang w:val="en-US" w:eastAsia="en-US" w:bidi="ar"/>
                    </w:rPr>
                    <w:t xml:space="preserve"> </w:t>
                  </w:r>
                  <w:r>
                    <w:rPr>
                      <w:rFonts w:hint="eastAsia" w:ascii="仿宋_GB2312" w:hAnsi="仿宋_GB2312" w:eastAsia="仿宋_GB2312" w:cs="仿宋_GB2312"/>
                      <w:color w:val="000000"/>
                      <w:spacing w:val="-4"/>
                      <w:kern w:val="0"/>
                      <w:sz w:val="18"/>
                      <w:szCs w:val="18"/>
                      <w:vertAlign w:val="baseline"/>
                      <w:lang w:val="en-US" w:eastAsia="en-US" w:bidi="ar"/>
                    </w:rPr>
                    <w:t>块</w:t>
                  </w:r>
                </w:p>
              </w:tc>
              <w:tc>
                <w:tcPr>
                  <w:tcW w:w="1116" w:type="dxa"/>
                  <w:shd w:val="clear" w:color="auto" w:fill="auto"/>
                  <w:vAlign w:val="center"/>
                </w:tcPr>
                <w:p>
                  <w:pPr>
                    <w:keepNext w:val="0"/>
                    <w:keepLines w:val="0"/>
                    <w:widowControl w:val="0"/>
                    <w:suppressLineNumbers w:val="0"/>
                    <w:autoSpaceDE w:val="0"/>
                    <w:autoSpaceDN w:val="0"/>
                    <w:spacing w:before="0" w:beforeAutospacing="0" w:after="0" w:afterAutospacing="0" w:line="316"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8" w:beforeAutospacing="0" w:after="0" w:afterAutospacing="0"/>
                    <w:ind w:left="24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学分数</w:t>
                  </w:r>
                </w:p>
              </w:tc>
              <w:tc>
                <w:tcPr>
                  <w:tcW w:w="1633" w:type="dxa"/>
                  <w:shd w:val="clear" w:color="auto" w:fill="auto"/>
                  <w:vAlign w:val="center"/>
                </w:tcPr>
                <w:p>
                  <w:pPr>
                    <w:keepNext w:val="0"/>
                    <w:keepLines w:val="0"/>
                    <w:widowControl w:val="0"/>
                    <w:suppressLineNumbers w:val="0"/>
                    <w:autoSpaceDE w:val="0"/>
                    <w:autoSpaceDN w:val="0"/>
                    <w:spacing w:before="0" w:beforeAutospacing="0" w:after="0" w:afterAutospacing="0" w:line="316"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8" w:beforeAutospacing="0" w:after="0" w:afterAutospacing="0"/>
                    <w:ind w:left="477"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学时数</w:t>
                  </w:r>
                </w:p>
              </w:tc>
              <w:tc>
                <w:tcPr>
                  <w:tcW w:w="1554" w:type="dxa"/>
                  <w:shd w:val="clear" w:color="auto" w:fill="auto"/>
                  <w:vAlign w:val="center"/>
                </w:tcPr>
                <w:p>
                  <w:pPr>
                    <w:keepNext w:val="0"/>
                    <w:keepLines w:val="0"/>
                    <w:widowControl w:val="0"/>
                    <w:suppressLineNumbers w:val="0"/>
                    <w:kinsoku w:val="0"/>
                    <w:autoSpaceDE w:val="0"/>
                    <w:autoSpaceDN w:val="0"/>
                    <w:adjustRightInd w:val="0"/>
                    <w:snapToGrid w:val="0"/>
                    <w:spacing w:before="68" w:beforeAutospacing="0" w:after="0" w:afterAutospacing="0"/>
                    <w:ind w:left="169"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实验实践学时</w:t>
                  </w:r>
                </w:p>
                <w:p>
                  <w:pPr>
                    <w:keepNext w:val="0"/>
                    <w:keepLines w:val="0"/>
                    <w:widowControl w:val="0"/>
                    <w:suppressLineNumbers w:val="0"/>
                    <w:kinsoku w:val="0"/>
                    <w:autoSpaceDE w:val="0"/>
                    <w:autoSpaceDN w:val="0"/>
                    <w:adjustRightInd w:val="0"/>
                    <w:snapToGrid w:val="0"/>
                    <w:spacing w:before="97" w:beforeAutospacing="0" w:after="0" w:afterAutospacing="0"/>
                    <w:ind w:left="285"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7"/>
                      <w:kern w:val="0"/>
                      <w:sz w:val="18"/>
                      <w:szCs w:val="18"/>
                      <w:vertAlign w:val="baseline"/>
                      <w:lang w:val="en-US" w:eastAsia="en-US" w:bidi="ar"/>
                    </w:rPr>
                    <w:t>占总学时比</w:t>
                  </w:r>
                </w:p>
                <w:p>
                  <w:pPr>
                    <w:keepNext w:val="0"/>
                    <w:keepLines w:val="0"/>
                    <w:widowControl w:val="0"/>
                    <w:suppressLineNumbers w:val="0"/>
                    <w:kinsoku w:val="0"/>
                    <w:autoSpaceDE w:val="0"/>
                    <w:autoSpaceDN w:val="0"/>
                    <w:adjustRightInd w:val="0"/>
                    <w:snapToGrid w:val="0"/>
                    <w:spacing w:before="96" w:beforeAutospacing="0" w:after="0" w:afterAutospacing="0"/>
                    <w:ind w:left="44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4"/>
                      <w:kern w:val="0"/>
                      <w:sz w:val="18"/>
                      <w:szCs w:val="18"/>
                      <w:vertAlign w:val="baseline"/>
                      <w:lang w:val="en-US" w:eastAsia="en-US" w:bidi="ar"/>
                    </w:rPr>
                    <w:t>（</w:t>
                  </w:r>
                  <w:r>
                    <w:rPr>
                      <w:rFonts w:hint="eastAsia" w:ascii="仿宋_GB2312" w:hAnsi="仿宋_GB2312" w:eastAsia="仿宋_GB2312" w:cs="仿宋_GB2312"/>
                      <w:b/>
                      <w:bCs/>
                      <w:color w:val="000000"/>
                      <w:spacing w:val="-4"/>
                      <w:kern w:val="0"/>
                      <w:sz w:val="18"/>
                      <w:szCs w:val="18"/>
                      <w:vertAlign w:val="baseline"/>
                      <w:lang w:val="en-US" w:eastAsia="en-US" w:bidi="ar"/>
                    </w:rPr>
                    <w:t>%</w:t>
                  </w:r>
                  <w:r>
                    <w:rPr>
                      <w:rFonts w:hint="eastAsia" w:ascii="仿宋_GB2312" w:hAnsi="仿宋_GB2312" w:eastAsia="仿宋_GB2312" w:cs="仿宋_GB2312"/>
                      <w:color w:val="000000"/>
                      <w:spacing w:val="-4"/>
                      <w:kern w:val="0"/>
                      <w:sz w:val="18"/>
                      <w:szCs w:val="18"/>
                      <w:vertAlign w:val="baseline"/>
                      <w:lang w:val="en-US" w:eastAsia="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9" w:hRule="atLeast"/>
                <w:jc w:val="center"/>
              </w:trPr>
              <w:tc>
                <w:tcPr>
                  <w:tcW w:w="707" w:type="dxa"/>
                  <w:vMerge w:val="restart"/>
                  <w:shd w:val="clear" w:color="auto" w:fill="auto"/>
                  <w:vAlign w:val="center"/>
                </w:tcPr>
                <w:p>
                  <w:pPr>
                    <w:keepNext w:val="0"/>
                    <w:keepLines w:val="0"/>
                    <w:widowControl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kern w:val="2"/>
                      <w:sz w:val="21"/>
                      <w:szCs w:val="21"/>
                      <w:lang w:eastAsia="en-US"/>
                    </w:rPr>
                  </w:pPr>
                  <w:r>
                    <w:rPr>
                      <w:rFonts w:hint="eastAsia" w:ascii="仿宋_GB2312" w:hAnsi="仿宋_GB2312" w:eastAsia="仿宋_GB2312" w:cs="仿宋_GB2312"/>
                      <w:kern w:val="2"/>
                      <w:sz w:val="21"/>
                      <w:szCs w:val="21"/>
                      <w:lang w:val="en-US" w:eastAsia="en-US" w:bidi="ar"/>
                    </w:rPr>
                    <w:t>理论</w:t>
                  </w:r>
                </w:p>
                <w:p>
                  <w:pPr>
                    <w:keepNext w:val="0"/>
                    <w:keepLines w:val="0"/>
                    <w:widowControl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kern w:val="2"/>
                      <w:sz w:val="21"/>
                      <w:szCs w:val="21"/>
                      <w:lang w:eastAsia="en-US"/>
                    </w:rPr>
                  </w:pPr>
                  <w:r>
                    <w:rPr>
                      <w:rFonts w:hint="eastAsia" w:ascii="仿宋_GB2312" w:hAnsi="仿宋_GB2312" w:eastAsia="仿宋_GB2312" w:cs="仿宋_GB2312"/>
                      <w:kern w:val="2"/>
                      <w:sz w:val="21"/>
                      <w:szCs w:val="21"/>
                      <w:lang w:val="en-US" w:eastAsia="en-US" w:bidi="ar"/>
                    </w:rPr>
                    <w:t>教学</w:t>
                  </w:r>
                </w:p>
                <w:p>
                  <w:pPr>
                    <w:keepNext w:val="0"/>
                    <w:keepLines w:val="0"/>
                    <w:widowControl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kern w:val="2"/>
                      <w:sz w:val="21"/>
                      <w:szCs w:val="21"/>
                      <w:lang w:eastAsia="en-US"/>
                    </w:rPr>
                  </w:pPr>
                  <w:r>
                    <w:rPr>
                      <w:rFonts w:hint="eastAsia" w:ascii="仿宋_GB2312" w:hAnsi="仿宋_GB2312" w:eastAsia="仿宋_GB2312" w:cs="仿宋_GB2312"/>
                      <w:kern w:val="2"/>
                      <w:sz w:val="21"/>
                      <w:szCs w:val="21"/>
                      <w:lang w:val="en-US" w:eastAsia="en-US" w:bidi="ar"/>
                    </w:rPr>
                    <w:t>（含实践、</w:t>
                  </w:r>
                </w:p>
                <w:p>
                  <w:pPr>
                    <w:keepNext w:val="0"/>
                    <w:keepLines w:val="0"/>
                    <w:widowControl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kern w:val="2"/>
                      <w:sz w:val="21"/>
                      <w:szCs w:val="21"/>
                      <w:lang w:eastAsia="en-US"/>
                    </w:rPr>
                  </w:pPr>
                  <w:r>
                    <w:rPr>
                      <w:rFonts w:hint="eastAsia" w:ascii="仿宋_GB2312" w:hAnsi="仿宋_GB2312" w:eastAsia="仿宋_GB2312" w:cs="仿宋_GB2312"/>
                      <w:kern w:val="2"/>
                      <w:sz w:val="21"/>
                      <w:szCs w:val="21"/>
                      <w:lang w:val="en-US" w:eastAsia="en-US" w:bidi="ar"/>
                    </w:rPr>
                    <w:t>实验）</w:t>
                  </w:r>
                </w:p>
              </w:tc>
              <w:tc>
                <w:tcPr>
                  <w:tcW w:w="2074" w:type="dxa"/>
                  <w:vMerge w:val="restart"/>
                  <w:shd w:val="clear" w:color="auto" w:fill="auto"/>
                  <w:vAlign w:val="center"/>
                </w:tcPr>
                <w:p>
                  <w:pPr>
                    <w:keepNext w:val="0"/>
                    <w:keepLines w:val="0"/>
                    <w:widowControl w:val="0"/>
                    <w:suppressLineNumbers w:val="0"/>
                    <w:kinsoku w:val="0"/>
                    <w:autoSpaceDE w:val="0"/>
                    <w:autoSpaceDN w:val="0"/>
                    <w:adjustRightInd w:val="0"/>
                    <w:snapToGrid w:val="0"/>
                    <w:spacing w:before="265" w:beforeAutospacing="0" w:after="0" w:afterAutospacing="0"/>
                    <w:ind w:left="11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通识教育课</w:t>
                  </w:r>
                </w:p>
              </w:tc>
              <w:tc>
                <w:tcPr>
                  <w:tcW w:w="1053"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90" w:beforeAutospacing="0" w:after="0" w:afterAutospacing="0"/>
                    <w:ind w:left="30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14" w:beforeAutospacing="0" w:after="0" w:afterAutospacing="0"/>
                    <w:ind w:left="349"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43</w:t>
                  </w:r>
                </w:p>
              </w:tc>
              <w:tc>
                <w:tcPr>
                  <w:tcW w:w="1633" w:type="dxa"/>
                  <w:shd w:val="clear" w:color="auto" w:fill="auto"/>
                  <w:vAlign w:val="center"/>
                </w:tcPr>
                <w:p>
                  <w:pPr>
                    <w:keepNext w:val="0"/>
                    <w:keepLines w:val="0"/>
                    <w:widowControl w:val="0"/>
                    <w:suppressLineNumbers w:val="0"/>
                    <w:autoSpaceDE w:val="0"/>
                    <w:autoSpaceDN w:val="0"/>
                    <w:spacing w:before="114" w:beforeAutospacing="0" w:after="0" w:afterAutospacing="0"/>
                    <w:ind w:left="60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816</w:t>
                  </w:r>
                </w:p>
              </w:tc>
              <w:tc>
                <w:tcPr>
                  <w:tcW w:w="1554" w:type="dxa"/>
                  <w:vMerge w:val="restart"/>
                  <w:shd w:val="clear" w:color="auto" w:fill="auto"/>
                  <w:vAlign w:val="center"/>
                </w:tcPr>
                <w:p>
                  <w:pPr>
                    <w:keepNext w:val="0"/>
                    <w:keepLines w:val="0"/>
                    <w:widowControl w:val="0"/>
                    <w:suppressLineNumbers w:val="0"/>
                    <w:autoSpaceDE w:val="0"/>
                    <w:autoSpaceDN w:val="0"/>
                    <w:spacing w:before="114" w:beforeAutospacing="0" w:after="0" w:afterAutospacing="0"/>
                    <w:ind w:left="595"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7"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07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1053"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88" w:beforeAutospacing="0" w:after="0" w:afterAutospacing="0"/>
                    <w:ind w:left="298"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任选</w:t>
                  </w:r>
                </w:p>
              </w:tc>
              <w:tc>
                <w:tcPr>
                  <w:tcW w:w="1116" w:type="dxa"/>
                  <w:shd w:val="clear" w:color="auto" w:fill="auto"/>
                  <w:vAlign w:val="center"/>
                </w:tcPr>
                <w:p>
                  <w:pPr>
                    <w:keepNext w:val="0"/>
                    <w:keepLines w:val="0"/>
                    <w:widowControl w:val="0"/>
                    <w:suppressLineNumbers w:val="0"/>
                    <w:autoSpaceDE w:val="0"/>
                    <w:autoSpaceDN w:val="0"/>
                    <w:spacing w:before="112" w:beforeAutospacing="0" w:after="0" w:afterAutospacing="0"/>
                    <w:ind w:left="433"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6</w:t>
                  </w:r>
                </w:p>
              </w:tc>
              <w:tc>
                <w:tcPr>
                  <w:tcW w:w="1633" w:type="dxa"/>
                  <w:shd w:val="clear" w:color="auto" w:fill="auto"/>
                  <w:vAlign w:val="center"/>
                </w:tcPr>
                <w:p>
                  <w:pPr>
                    <w:keepNext w:val="0"/>
                    <w:keepLines w:val="0"/>
                    <w:widowControl w:val="0"/>
                    <w:suppressLineNumbers w:val="0"/>
                    <w:autoSpaceDE w:val="0"/>
                    <w:autoSpaceDN w:val="0"/>
                    <w:spacing w:before="112" w:beforeAutospacing="0" w:after="0" w:afterAutospacing="0"/>
                    <w:ind w:left="60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96</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074" w:type="dxa"/>
                  <w:shd w:val="clear" w:color="auto" w:fill="auto"/>
                  <w:vAlign w:val="center"/>
                </w:tcPr>
                <w:p>
                  <w:pPr>
                    <w:keepNext w:val="0"/>
                    <w:keepLines w:val="0"/>
                    <w:widowControl w:val="0"/>
                    <w:suppressLineNumbers w:val="0"/>
                    <w:kinsoku w:val="0"/>
                    <w:autoSpaceDE w:val="0"/>
                    <w:autoSpaceDN w:val="0"/>
                    <w:adjustRightInd w:val="0"/>
                    <w:snapToGrid w:val="0"/>
                    <w:spacing w:before="89" w:beforeAutospacing="0" w:after="0" w:afterAutospacing="0"/>
                    <w:ind w:left="11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专业基础课</w:t>
                  </w:r>
                </w:p>
              </w:tc>
              <w:tc>
                <w:tcPr>
                  <w:tcW w:w="1053"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89" w:beforeAutospacing="0" w:after="0" w:afterAutospacing="0"/>
                    <w:ind w:left="30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13" w:beforeAutospacing="0" w:after="0" w:afterAutospacing="0"/>
                    <w:ind w:left="348"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30</w:t>
                  </w:r>
                </w:p>
              </w:tc>
              <w:tc>
                <w:tcPr>
                  <w:tcW w:w="1633" w:type="dxa"/>
                  <w:shd w:val="clear" w:color="auto" w:fill="auto"/>
                  <w:vAlign w:val="center"/>
                </w:tcPr>
                <w:p>
                  <w:pPr>
                    <w:keepNext w:val="0"/>
                    <w:keepLines w:val="0"/>
                    <w:widowControl w:val="0"/>
                    <w:suppressLineNumbers w:val="0"/>
                    <w:autoSpaceDE w:val="0"/>
                    <w:autoSpaceDN w:val="0"/>
                    <w:spacing w:before="113" w:beforeAutospacing="0" w:after="0" w:afterAutospacing="0"/>
                    <w:ind w:left="610"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464</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074" w:type="dxa"/>
                  <w:vMerge w:val="restart"/>
                  <w:shd w:val="clear" w:color="auto" w:fill="auto"/>
                  <w:vAlign w:val="center"/>
                </w:tcPr>
                <w:p>
                  <w:pPr>
                    <w:keepNext w:val="0"/>
                    <w:keepLines w:val="0"/>
                    <w:widowControl w:val="0"/>
                    <w:suppressLineNumbers w:val="0"/>
                    <w:autoSpaceDE w:val="0"/>
                    <w:autoSpaceDN w:val="0"/>
                    <w:spacing w:before="0" w:beforeAutospacing="0" w:after="0" w:afterAutospacing="0" w:line="381"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8" w:beforeAutospacing="0" w:after="0" w:afterAutospacing="0"/>
                    <w:ind w:left="11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专业课</w:t>
                  </w:r>
                </w:p>
              </w:tc>
              <w:tc>
                <w:tcPr>
                  <w:tcW w:w="1053"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89" w:beforeAutospacing="0" w:after="0" w:afterAutospacing="0"/>
                    <w:ind w:left="30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13" w:beforeAutospacing="0" w:after="0" w:afterAutospacing="0"/>
                    <w:ind w:left="36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35</w:t>
                  </w:r>
                </w:p>
              </w:tc>
              <w:tc>
                <w:tcPr>
                  <w:tcW w:w="1633" w:type="dxa"/>
                  <w:shd w:val="clear" w:color="auto" w:fill="auto"/>
                  <w:vAlign w:val="center"/>
                </w:tcPr>
                <w:p>
                  <w:pPr>
                    <w:keepNext w:val="0"/>
                    <w:keepLines w:val="0"/>
                    <w:widowControl w:val="0"/>
                    <w:suppressLineNumbers w:val="0"/>
                    <w:autoSpaceDE w:val="0"/>
                    <w:autoSpaceDN w:val="0"/>
                    <w:spacing w:before="113" w:beforeAutospacing="0" w:after="0" w:afterAutospacing="0"/>
                    <w:ind w:left="607"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528</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3"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07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1053"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93" w:beforeAutospacing="0" w:after="0" w:afterAutospacing="0"/>
                    <w:ind w:left="311"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5"/>
                      <w:kern w:val="0"/>
                      <w:sz w:val="18"/>
                      <w:szCs w:val="18"/>
                      <w:vertAlign w:val="baseline"/>
                      <w:lang w:val="en-US" w:eastAsia="en-US" w:bidi="ar"/>
                    </w:rPr>
                    <w:t>选修</w:t>
                  </w:r>
                </w:p>
              </w:tc>
              <w:tc>
                <w:tcPr>
                  <w:tcW w:w="1116" w:type="dxa"/>
                  <w:shd w:val="clear" w:color="auto" w:fill="auto"/>
                  <w:vAlign w:val="center"/>
                </w:tcPr>
                <w:p>
                  <w:pPr>
                    <w:keepNext w:val="0"/>
                    <w:keepLines w:val="0"/>
                    <w:widowControl w:val="0"/>
                    <w:suppressLineNumbers w:val="0"/>
                    <w:autoSpaceDE w:val="0"/>
                    <w:autoSpaceDN w:val="0"/>
                    <w:spacing w:before="118" w:beforeAutospacing="0" w:after="0" w:afterAutospacing="0"/>
                    <w:ind w:left="0" w:right="0" w:firstLine="360" w:firstLineChars="20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24</w:t>
                  </w:r>
                </w:p>
              </w:tc>
              <w:tc>
                <w:tcPr>
                  <w:tcW w:w="1633" w:type="dxa"/>
                  <w:shd w:val="clear" w:color="auto" w:fill="auto"/>
                  <w:vAlign w:val="center"/>
                </w:tcPr>
                <w:p>
                  <w:pPr>
                    <w:keepNext w:val="0"/>
                    <w:keepLines w:val="0"/>
                    <w:widowControl w:val="0"/>
                    <w:suppressLineNumbers w:val="0"/>
                    <w:autoSpaceDE w:val="0"/>
                    <w:autoSpaceDN w:val="0"/>
                    <w:spacing w:before="116" w:beforeAutospacing="0" w:after="0" w:afterAutospacing="0"/>
                    <w:ind w:left="659"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384</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7"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3127" w:type="dxa"/>
                  <w:gridSpan w:val="3"/>
                  <w:shd w:val="clear" w:color="auto" w:fill="auto"/>
                  <w:vAlign w:val="center"/>
                </w:tcPr>
                <w:p>
                  <w:pPr>
                    <w:keepNext w:val="0"/>
                    <w:keepLines w:val="0"/>
                    <w:widowControl w:val="0"/>
                    <w:suppressLineNumbers w:val="0"/>
                    <w:kinsoku w:val="0"/>
                    <w:autoSpaceDE w:val="0"/>
                    <w:autoSpaceDN w:val="0"/>
                    <w:adjustRightInd w:val="0"/>
                    <w:snapToGrid w:val="0"/>
                    <w:spacing w:before="90" w:beforeAutospacing="0" w:after="0" w:afterAutospacing="0"/>
                    <w:ind w:left="1243"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小计</w:t>
                  </w:r>
                </w:p>
              </w:tc>
              <w:tc>
                <w:tcPr>
                  <w:tcW w:w="1116" w:type="dxa"/>
                  <w:shd w:val="clear" w:color="auto" w:fill="auto"/>
                  <w:vAlign w:val="center"/>
                </w:tcPr>
                <w:p>
                  <w:pPr>
                    <w:keepNext w:val="0"/>
                    <w:keepLines w:val="0"/>
                    <w:widowControl w:val="0"/>
                    <w:suppressLineNumbers w:val="0"/>
                    <w:autoSpaceDE w:val="0"/>
                    <w:autoSpaceDN w:val="0"/>
                    <w:spacing w:before="118" w:beforeAutospacing="0" w:after="0" w:afterAutospacing="0"/>
                    <w:ind w:left="0"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136</w:t>
                  </w:r>
                </w:p>
              </w:tc>
              <w:tc>
                <w:tcPr>
                  <w:tcW w:w="1633" w:type="dxa"/>
                  <w:shd w:val="clear" w:color="auto" w:fill="auto"/>
                  <w:vAlign w:val="center"/>
                </w:tcPr>
                <w:p>
                  <w:pPr>
                    <w:keepNext w:val="0"/>
                    <w:keepLines w:val="0"/>
                    <w:widowControl w:val="0"/>
                    <w:suppressLineNumbers w:val="0"/>
                    <w:autoSpaceDE w:val="0"/>
                    <w:autoSpaceDN w:val="0"/>
                    <w:spacing w:before="118" w:beforeAutospacing="0" w:after="0" w:afterAutospacing="0"/>
                    <w:ind w:left="0"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2291</w:t>
                  </w:r>
                </w:p>
              </w:tc>
              <w:tc>
                <w:tcPr>
                  <w:tcW w:w="1554" w:type="dxa"/>
                  <w:shd w:val="clear" w:color="auto" w:fill="auto"/>
                  <w:vAlign w:val="center"/>
                </w:tcPr>
                <w:p>
                  <w:pPr>
                    <w:keepNext w:val="0"/>
                    <w:keepLines w:val="0"/>
                    <w:widowControl w:val="0"/>
                    <w:suppressLineNumbers w:val="0"/>
                    <w:autoSpaceDE w:val="0"/>
                    <w:autoSpaceDN w:val="0"/>
                    <w:spacing w:before="118" w:beforeAutospacing="0" w:after="0" w:afterAutospacing="0"/>
                    <w:ind w:left="592" w:right="0"/>
                    <w:jc w:val="center"/>
                    <w:rPr>
                      <w:rFonts w:hint="eastAsia" w:ascii="仿宋_GB2312" w:hAnsi="仿宋_GB2312" w:eastAsia="仿宋_GB2312" w:cs="仿宋_GB2312"/>
                      <w:kern w:val="2"/>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6" w:hRule="atLeast"/>
                <w:jc w:val="center"/>
              </w:trPr>
              <w:tc>
                <w:tcPr>
                  <w:tcW w:w="707" w:type="dxa"/>
                  <w:vMerge w:val="restart"/>
                  <w:shd w:val="clear" w:color="auto" w:fill="auto"/>
                  <w:vAlign w:val="center"/>
                </w:tcPr>
                <w:p>
                  <w:pPr>
                    <w:keepNext w:val="0"/>
                    <w:keepLines w:val="0"/>
                    <w:widowControl w:val="0"/>
                    <w:suppressLineNumbers w:val="0"/>
                    <w:autoSpaceDE w:val="0"/>
                    <w:autoSpaceDN w:val="0"/>
                    <w:spacing w:before="0" w:beforeAutospacing="0" w:after="0" w:afterAutospacing="0" w:line="338"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autoSpaceDE w:val="0"/>
                    <w:autoSpaceDN w:val="0"/>
                    <w:spacing w:before="0" w:beforeAutospacing="0" w:after="0" w:afterAutospacing="0" w:line="340" w:lineRule="auto"/>
                    <w:ind w:left="0" w:right="0"/>
                    <w:jc w:val="center"/>
                    <w:rPr>
                      <w:rFonts w:hint="eastAsia" w:ascii="仿宋_GB2312" w:hAnsi="仿宋_GB2312" w:eastAsia="仿宋_GB2312" w:cs="仿宋_GB2312"/>
                      <w:kern w:val="2"/>
                      <w:sz w:val="21"/>
                      <w:szCs w:val="21"/>
                      <w:lang w:eastAsia="en-US"/>
                    </w:rPr>
                  </w:pPr>
                </w:p>
                <w:p>
                  <w:pPr>
                    <w:keepNext w:val="0"/>
                    <w:keepLines w:val="0"/>
                    <w:widowControl w:val="0"/>
                    <w:suppressLineNumbers w:val="0"/>
                    <w:kinsoku w:val="0"/>
                    <w:autoSpaceDE w:val="0"/>
                    <w:autoSpaceDN w:val="0"/>
                    <w:adjustRightInd w:val="0"/>
                    <w:snapToGrid w:val="0"/>
                    <w:spacing w:before="58" w:beforeAutospacing="0" w:after="0" w:afterAutospacing="0" w:line="240" w:lineRule="exact"/>
                    <w:ind w:left="147"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position w:val="4"/>
                      <w:sz w:val="18"/>
                      <w:szCs w:val="18"/>
                      <w:vertAlign w:val="baseline"/>
                      <w:lang w:val="en-US" w:eastAsia="en-US" w:bidi="ar"/>
                    </w:rPr>
                    <w:t>实践</w:t>
                  </w:r>
                </w:p>
                <w:p>
                  <w:pPr>
                    <w:keepNext w:val="0"/>
                    <w:keepLines w:val="0"/>
                    <w:widowControl w:val="0"/>
                    <w:suppressLineNumbers w:val="0"/>
                    <w:kinsoku w:val="0"/>
                    <w:autoSpaceDE w:val="0"/>
                    <w:autoSpaceDN w:val="0"/>
                    <w:adjustRightInd w:val="0"/>
                    <w:snapToGrid w:val="0"/>
                    <w:spacing w:before="0" w:beforeAutospacing="0" w:after="0" w:afterAutospacing="0"/>
                    <w:ind w:left="145"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教学</w:t>
                  </w:r>
                </w:p>
              </w:tc>
              <w:tc>
                <w:tcPr>
                  <w:tcW w:w="2146"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91" w:beforeAutospacing="0" w:after="0" w:afterAutospacing="0"/>
                    <w:ind w:left="11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kern w:val="0"/>
                      <w:sz w:val="18"/>
                      <w:szCs w:val="18"/>
                      <w:vertAlign w:val="baseline"/>
                      <w:lang w:val="en-US" w:eastAsia="en-US" w:bidi="ar"/>
                    </w:rPr>
                    <w:t>社会实践</w:t>
                  </w:r>
                </w:p>
              </w:tc>
              <w:tc>
                <w:tcPr>
                  <w:tcW w:w="981" w:type="dxa"/>
                  <w:shd w:val="clear" w:color="auto" w:fill="auto"/>
                  <w:vAlign w:val="center"/>
                </w:tcPr>
                <w:p>
                  <w:pPr>
                    <w:keepNext w:val="0"/>
                    <w:keepLines w:val="0"/>
                    <w:widowControl w:val="0"/>
                    <w:suppressLineNumbers w:val="0"/>
                    <w:kinsoku w:val="0"/>
                    <w:autoSpaceDE w:val="0"/>
                    <w:autoSpaceDN w:val="0"/>
                    <w:adjustRightInd w:val="0"/>
                    <w:snapToGrid w:val="0"/>
                    <w:spacing w:before="90" w:beforeAutospacing="0" w:after="0" w:afterAutospacing="0"/>
                    <w:ind w:left="27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17" w:beforeAutospacing="0" w:after="0" w:afterAutospacing="0"/>
                    <w:ind w:left="462"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4</w:t>
                  </w:r>
                </w:p>
              </w:tc>
              <w:tc>
                <w:tcPr>
                  <w:tcW w:w="1633" w:type="dxa"/>
                  <w:shd w:val="clear" w:color="auto" w:fill="auto"/>
                  <w:vAlign w:val="center"/>
                </w:tcPr>
                <w:p>
                  <w:pPr>
                    <w:keepNext w:val="0"/>
                    <w:keepLines w:val="0"/>
                    <w:widowControl w:val="0"/>
                    <w:suppressLineNumbers w:val="0"/>
                    <w:kinsoku w:val="0"/>
                    <w:autoSpaceDE w:val="0"/>
                    <w:autoSpaceDN w:val="0"/>
                    <w:adjustRightInd w:val="0"/>
                    <w:snapToGrid w:val="0"/>
                    <w:spacing w:before="90" w:beforeAutospacing="0" w:after="0" w:afterAutospacing="0"/>
                    <w:ind w:left="199" w:right="0" w:firstLine="360" w:firstLineChars="20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kern w:val="0"/>
                      <w:sz w:val="18"/>
                      <w:szCs w:val="18"/>
                      <w:vertAlign w:val="baseline"/>
                      <w:lang w:val="en-US" w:eastAsia="en-US" w:bidi="ar"/>
                    </w:rPr>
                    <w:t>40</w:t>
                  </w:r>
                </w:p>
              </w:tc>
              <w:tc>
                <w:tcPr>
                  <w:tcW w:w="1554" w:type="dxa"/>
                  <w:vMerge w:val="restart"/>
                  <w:shd w:val="clear" w:color="auto" w:fill="auto"/>
                  <w:vAlign w:val="center"/>
                </w:tcPr>
                <w:p>
                  <w:pPr>
                    <w:keepNext w:val="0"/>
                    <w:keepLines w:val="0"/>
                    <w:widowControl w:val="0"/>
                    <w:suppressLineNumbers w:val="0"/>
                    <w:autoSpaceDE w:val="0"/>
                    <w:autoSpaceDN w:val="0"/>
                    <w:spacing w:before="114" w:beforeAutospacing="0" w:after="0" w:afterAutospacing="0"/>
                    <w:ind w:left="595"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2"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146"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93" w:beforeAutospacing="0" w:after="0" w:afterAutospacing="0"/>
                    <w:ind w:left="112"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kern w:val="0"/>
                      <w:sz w:val="18"/>
                      <w:szCs w:val="18"/>
                      <w:vertAlign w:val="baseline"/>
                      <w:lang w:val="en-US" w:eastAsia="en-US" w:bidi="ar"/>
                    </w:rPr>
                    <w:t>专业见习</w:t>
                  </w:r>
                </w:p>
              </w:tc>
              <w:tc>
                <w:tcPr>
                  <w:tcW w:w="981" w:type="dxa"/>
                  <w:shd w:val="clear" w:color="auto" w:fill="auto"/>
                  <w:vAlign w:val="center"/>
                </w:tcPr>
                <w:p>
                  <w:pPr>
                    <w:keepNext w:val="0"/>
                    <w:keepLines w:val="0"/>
                    <w:widowControl w:val="0"/>
                    <w:suppressLineNumbers w:val="0"/>
                    <w:kinsoku w:val="0"/>
                    <w:autoSpaceDE w:val="0"/>
                    <w:autoSpaceDN w:val="0"/>
                    <w:adjustRightInd w:val="0"/>
                    <w:snapToGrid w:val="0"/>
                    <w:spacing w:before="93" w:beforeAutospacing="0" w:after="0" w:afterAutospacing="0"/>
                    <w:ind w:left="27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17" w:beforeAutospacing="0" w:after="0" w:afterAutospacing="0"/>
                    <w:ind w:left="36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w:t>
                  </w:r>
                </w:p>
              </w:tc>
              <w:tc>
                <w:tcPr>
                  <w:tcW w:w="1633" w:type="dxa"/>
                  <w:shd w:val="clear" w:color="auto" w:fill="auto"/>
                  <w:vAlign w:val="center"/>
                </w:tcPr>
                <w:p>
                  <w:pPr>
                    <w:keepNext w:val="0"/>
                    <w:keepLines w:val="0"/>
                    <w:widowControl w:val="0"/>
                    <w:suppressLineNumbers w:val="0"/>
                    <w:autoSpaceDE w:val="0"/>
                    <w:autoSpaceDN w:val="0"/>
                    <w:spacing w:before="117" w:beforeAutospacing="0" w:after="0" w:afterAutospacing="0"/>
                    <w:ind w:left="60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40</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01"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2146" w:type="dxa"/>
                  <w:gridSpan w:val="2"/>
                  <w:shd w:val="clear" w:color="auto" w:fill="auto"/>
                  <w:vAlign w:val="center"/>
                </w:tcPr>
                <w:p>
                  <w:pPr>
                    <w:keepNext w:val="0"/>
                    <w:keepLines w:val="0"/>
                    <w:widowControl w:val="0"/>
                    <w:suppressLineNumbers w:val="0"/>
                    <w:kinsoku w:val="0"/>
                    <w:autoSpaceDE w:val="0"/>
                    <w:autoSpaceDN w:val="0"/>
                    <w:adjustRightInd w:val="0"/>
                    <w:snapToGrid w:val="0"/>
                    <w:spacing w:before="41" w:beforeAutospacing="0" w:after="0" w:afterAutospacing="0"/>
                    <w:ind w:left="110" w:right="212" w:firstLine="3"/>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毕业实习与论文（设</w:t>
                  </w:r>
                  <w:r>
                    <w:rPr>
                      <w:rFonts w:hint="eastAsia" w:ascii="仿宋_GB2312" w:hAnsi="仿宋_GB2312" w:eastAsia="仿宋_GB2312" w:cs="仿宋_GB2312"/>
                      <w:color w:val="000000"/>
                      <w:spacing w:val="6"/>
                      <w:kern w:val="0"/>
                      <w:sz w:val="18"/>
                      <w:szCs w:val="18"/>
                      <w:vertAlign w:val="baseline"/>
                      <w:lang w:val="en-US" w:eastAsia="en-US" w:bidi="ar"/>
                    </w:rPr>
                    <w:t xml:space="preserve"> </w:t>
                  </w:r>
                  <w:r>
                    <w:rPr>
                      <w:rFonts w:hint="eastAsia" w:ascii="仿宋_GB2312" w:hAnsi="仿宋_GB2312" w:eastAsia="仿宋_GB2312" w:cs="仿宋_GB2312"/>
                      <w:color w:val="000000"/>
                      <w:spacing w:val="-4"/>
                      <w:kern w:val="0"/>
                      <w:sz w:val="18"/>
                      <w:szCs w:val="18"/>
                      <w:vertAlign w:val="baseline"/>
                      <w:lang w:val="en-US" w:eastAsia="en-US" w:bidi="ar"/>
                    </w:rPr>
                    <w:t>计)</w:t>
                  </w:r>
                </w:p>
              </w:tc>
              <w:tc>
                <w:tcPr>
                  <w:tcW w:w="981" w:type="dxa"/>
                  <w:shd w:val="clear" w:color="auto" w:fill="auto"/>
                  <w:vAlign w:val="center"/>
                </w:tcPr>
                <w:p>
                  <w:pPr>
                    <w:keepNext w:val="0"/>
                    <w:keepLines w:val="0"/>
                    <w:widowControl w:val="0"/>
                    <w:suppressLineNumbers w:val="0"/>
                    <w:kinsoku w:val="0"/>
                    <w:autoSpaceDE w:val="0"/>
                    <w:autoSpaceDN w:val="0"/>
                    <w:adjustRightInd w:val="0"/>
                    <w:snapToGrid w:val="0"/>
                    <w:spacing w:before="160" w:beforeAutospacing="0" w:after="0" w:afterAutospacing="0"/>
                    <w:ind w:left="27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widowControl w:val="0"/>
                    <w:suppressLineNumbers w:val="0"/>
                    <w:autoSpaceDE w:val="0"/>
                    <w:autoSpaceDN w:val="0"/>
                    <w:spacing w:before="187" w:beforeAutospacing="0" w:after="0" w:afterAutospacing="0"/>
                    <w:ind w:left="462"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16</w:t>
                  </w:r>
                </w:p>
              </w:tc>
              <w:tc>
                <w:tcPr>
                  <w:tcW w:w="1633" w:type="dxa"/>
                  <w:shd w:val="clear" w:color="auto" w:fill="auto"/>
                  <w:vAlign w:val="center"/>
                </w:tcPr>
                <w:p>
                  <w:pPr>
                    <w:keepNext w:val="0"/>
                    <w:keepLines w:val="0"/>
                    <w:widowControl w:val="0"/>
                    <w:suppressLineNumbers w:val="0"/>
                    <w:kinsoku w:val="0"/>
                    <w:autoSpaceDE w:val="0"/>
                    <w:autoSpaceDN w:val="0"/>
                    <w:adjustRightInd w:val="0"/>
                    <w:snapToGrid w:val="0"/>
                    <w:spacing w:before="152" w:beforeAutospacing="0" w:after="0" w:afterAutospacing="0"/>
                    <w:ind w:left="557"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kern w:val="0"/>
                      <w:sz w:val="18"/>
                      <w:szCs w:val="18"/>
                      <w:vertAlign w:val="baseline"/>
                      <w:lang w:val="en-US" w:eastAsia="en-US" w:bidi="ar"/>
                    </w:rPr>
                    <w:t>640</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5" w:hRule="atLeast"/>
                <w:jc w:val="center"/>
              </w:trPr>
              <w:tc>
                <w:tcPr>
                  <w:tcW w:w="707"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c>
                <w:tcPr>
                  <w:tcW w:w="3127" w:type="dxa"/>
                  <w:gridSpan w:val="3"/>
                  <w:shd w:val="clear" w:color="auto" w:fill="auto"/>
                  <w:vAlign w:val="center"/>
                </w:tcPr>
                <w:p>
                  <w:pPr>
                    <w:keepNext w:val="0"/>
                    <w:keepLines w:val="0"/>
                    <w:widowControl w:val="0"/>
                    <w:suppressLineNumbers w:val="0"/>
                    <w:kinsoku w:val="0"/>
                    <w:autoSpaceDE w:val="0"/>
                    <w:autoSpaceDN w:val="0"/>
                    <w:adjustRightInd w:val="0"/>
                    <w:snapToGrid w:val="0"/>
                    <w:spacing w:before="92" w:beforeAutospacing="0" w:after="0" w:afterAutospacing="0"/>
                    <w:ind w:left="1243"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3"/>
                      <w:kern w:val="0"/>
                      <w:sz w:val="18"/>
                      <w:szCs w:val="18"/>
                      <w:vertAlign w:val="baseline"/>
                      <w:lang w:val="en-US" w:eastAsia="en-US" w:bidi="ar"/>
                    </w:rPr>
                    <w:t>小计</w:t>
                  </w:r>
                </w:p>
              </w:tc>
              <w:tc>
                <w:tcPr>
                  <w:tcW w:w="1116" w:type="dxa"/>
                  <w:shd w:val="clear" w:color="auto" w:fill="auto"/>
                  <w:vAlign w:val="center"/>
                </w:tcPr>
                <w:p>
                  <w:pPr>
                    <w:keepNext w:val="0"/>
                    <w:keepLines w:val="0"/>
                    <w:widowControl w:val="0"/>
                    <w:suppressLineNumbers w:val="0"/>
                    <w:autoSpaceDE w:val="0"/>
                    <w:autoSpaceDN w:val="0"/>
                    <w:spacing w:before="120" w:beforeAutospacing="0" w:after="0" w:afterAutospacing="0"/>
                    <w:ind w:left="349"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22</w:t>
                  </w:r>
                </w:p>
              </w:tc>
              <w:tc>
                <w:tcPr>
                  <w:tcW w:w="1633" w:type="dxa"/>
                  <w:shd w:val="clear" w:color="auto" w:fill="auto"/>
                  <w:vAlign w:val="center"/>
                </w:tcPr>
                <w:p>
                  <w:pPr>
                    <w:keepNext w:val="0"/>
                    <w:keepLines w:val="0"/>
                    <w:widowControl w:val="0"/>
                    <w:suppressLineNumbers w:val="0"/>
                    <w:autoSpaceDE w:val="0"/>
                    <w:autoSpaceDN w:val="0"/>
                    <w:spacing w:before="120" w:beforeAutospacing="0" w:after="0" w:afterAutospacing="0"/>
                    <w:ind w:left="569"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720</w:t>
                  </w:r>
                </w:p>
              </w:tc>
              <w:tc>
                <w:tcPr>
                  <w:tcW w:w="1554" w:type="dxa"/>
                  <w:vMerge w:val="continue"/>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eastAsia" w:ascii="仿宋_GB2312" w:hAnsi="仿宋_GB2312" w:eastAsia="仿宋_GB2312" w:cs="仿宋_GB2312"/>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3834" w:type="dxa"/>
                  <w:gridSpan w:val="4"/>
                  <w:shd w:val="clear" w:color="auto" w:fill="auto"/>
                  <w:vAlign w:val="center"/>
                </w:tcPr>
                <w:p>
                  <w:pPr>
                    <w:keepNext w:val="0"/>
                    <w:keepLines w:val="0"/>
                    <w:widowControl w:val="0"/>
                    <w:suppressLineNumbers w:val="0"/>
                    <w:kinsoku w:val="0"/>
                    <w:autoSpaceDE w:val="0"/>
                    <w:autoSpaceDN w:val="0"/>
                    <w:adjustRightInd w:val="0"/>
                    <w:snapToGrid w:val="0"/>
                    <w:spacing w:before="109" w:beforeAutospacing="0" w:after="0" w:afterAutospacing="0"/>
                    <w:ind w:left="1560" w:right="0"/>
                    <w:jc w:val="center"/>
                    <w:textAlignment w:val="baseline"/>
                    <w:rPr>
                      <w:rFonts w:hint="eastAsia" w:ascii="仿宋_GB2312" w:hAnsi="仿宋_GB2312" w:eastAsia="仿宋_GB2312" w:cs="仿宋_GB2312"/>
                      <w:color w:val="000000"/>
                      <w:kern w:val="0"/>
                      <w:sz w:val="18"/>
                      <w:szCs w:val="18"/>
                      <w:vertAlign w:val="baseline"/>
                      <w:lang w:eastAsia="en-US"/>
                    </w:rPr>
                  </w:pPr>
                  <w:r>
                    <w:rPr>
                      <w:rFonts w:hint="eastAsia" w:ascii="仿宋_GB2312" w:hAnsi="仿宋_GB2312" w:eastAsia="仿宋_GB2312" w:cs="仿宋_GB2312"/>
                      <w:color w:val="000000"/>
                      <w:spacing w:val="-2"/>
                      <w:kern w:val="0"/>
                      <w:sz w:val="18"/>
                      <w:szCs w:val="18"/>
                      <w:vertAlign w:val="baseline"/>
                      <w:lang w:val="en-US" w:eastAsia="en-US" w:bidi="ar"/>
                    </w:rPr>
                    <w:t>合计</w:t>
                  </w:r>
                </w:p>
              </w:tc>
              <w:tc>
                <w:tcPr>
                  <w:tcW w:w="1116" w:type="dxa"/>
                  <w:shd w:val="clear" w:color="auto" w:fill="auto"/>
                  <w:vAlign w:val="center"/>
                </w:tcPr>
                <w:p>
                  <w:pPr>
                    <w:keepNext w:val="0"/>
                    <w:keepLines w:val="0"/>
                    <w:widowControl w:val="0"/>
                    <w:suppressLineNumbers w:val="0"/>
                    <w:autoSpaceDE w:val="0"/>
                    <w:autoSpaceDN w:val="0"/>
                    <w:spacing w:before="149" w:beforeAutospacing="0" w:after="0" w:afterAutospacing="0"/>
                    <w:ind w:left="378"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160</w:t>
                  </w:r>
                </w:p>
              </w:tc>
              <w:tc>
                <w:tcPr>
                  <w:tcW w:w="1633" w:type="dxa"/>
                  <w:shd w:val="clear" w:color="auto" w:fill="auto"/>
                  <w:vAlign w:val="center"/>
                </w:tcPr>
                <w:p>
                  <w:pPr>
                    <w:keepNext w:val="0"/>
                    <w:keepLines w:val="0"/>
                    <w:widowControl w:val="0"/>
                    <w:suppressLineNumbers w:val="0"/>
                    <w:autoSpaceDE w:val="0"/>
                    <w:autoSpaceDN w:val="0"/>
                    <w:spacing w:before="149" w:beforeAutospacing="0" w:after="0" w:afterAutospacing="0"/>
                    <w:ind w:left="0"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3011</w:t>
                  </w:r>
                </w:p>
              </w:tc>
              <w:tc>
                <w:tcPr>
                  <w:tcW w:w="1554" w:type="dxa"/>
                  <w:shd w:val="clear" w:color="auto" w:fill="auto"/>
                  <w:vAlign w:val="center"/>
                </w:tcPr>
                <w:p>
                  <w:pPr>
                    <w:keepNext w:val="0"/>
                    <w:keepLines w:val="0"/>
                    <w:widowControl w:val="0"/>
                    <w:suppressLineNumbers w:val="0"/>
                    <w:autoSpaceDE w:val="0"/>
                    <w:autoSpaceDN w:val="0"/>
                    <w:spacing w:before="149" w:beforeAutospacing="0" w:after="0" w:afterAutospacing="0"/>
                    <w:ind w:left="546" w:right="0"/>
                    <w:jc w:val="center"/>
                    <w:rPr>
                      <w:rFonts w:hint="eastAsia" w:ascii="仿宋_GB2312" w:hAnsi="仿宋_GB2312" w:eastAsia="仿宋_GB2312" w:cs="仿宋_GB2312"/>
                      <w:kern w:val="2"/>
                      <w:sz w:val="18"/>
                      <w:szCs w:val="18"/>
                      <w:lang w:eastAsia="en-US"/>
                    </w:rPr>
                  </w:pPr>
                  <w:r>
                    <w:rPr>
                      <w:rFonts w:hint="eastAsia" w:ascii="仿宋_GB2312" w:hAnsi="仿宋_GB2312" w:eastAsia="仿宋_GB2312" w:cs="仿宋_GB2312"/>
                      <w:kern w:val="2"/>
                      <w:sz w:val="18"/>
                      <w:szCs w:val="18"/>
                      <w:lang w:val="en-US" w:eastAsia="en-US" w:bidi="ar"/>
                    </w:rPr>
                    <w:t>43.3</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64" w:firstLineChars="200"/>
              <w:jc w:val="both"/>
              <w:textAlignment w:val="auto"/>
              <w:rPr>
                <w:rFonts w:hint="eastAsia" w:ascii="仿宋_GB2312" w:hAnsi="仿宋_GB2312" w:eastAsia="仿宋_GB2312" w:cs="仿宋_GB2312"/>
                <w:b w:val="0"/>
                <w:bCs w:val="0"/>
                <w:kern w:val="2"/>
                <w:sz w:val="24"/>
                <w:szCs w:val="24"/>
                <w:lang w:val="en-US" w:eastAsia="zh-CN" w:bidi="ar"/>
              </w:rPr>
            </w:pPr>
            <w:r>
              <w:rPr>
                <w:rFonts w:hint="eastAsia" w:ascii="仿宋_GB2312" w:eastAsia="仿宋_GB2312" w:hAnsiTheme="minorHAnsi" w:cstheme="minorBidi"/>
                <w:b w:val="0"/>
                <w:bCs w:val="0"/>
                <w:spacing w:val="-4"/>
                <w:kern w:val="2"/>
                <w:sz w:val="24"/>
                <w:szCs w:val="24"/>
                <w:lang w:val="en-US" w:eastAsia="zh-CN" w:bidi="ar-SA"/>
              </w:rPr>
              <w:t>注：</w:t>
            </w:r>
            <w:r>
              <w:rPr>
                <w:rFonts w:hint="eastAsia" w:ascii="仿宋_GB2312" w:hAnsi="仿宋_GB2312" w:eastAsia="仿宋_GB2312" w:cs="仿宋_GB2312"/>
                <w:b w:val="0"/>
                <w:bCs w:val="0"/>
                <w:kern w:val="2"/>
                <w:sz w:val="24"/>
                <w:szCs w:val="24"/>
                <w:lang w:val="en-US" w:eastAsia="zh-CN" w:bidi="ar"/>
              </w:rPr>
              <w:t>实践教1周折算20学时。通识教育任选课及专业任选课因属选修课程模块，实验学时未统计在内。</w:t>
            </w:r>
          </w:p>
          <w:p>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2"/>
                <w:sz w:val="32"/>
                <w:szCs w:val="32"/>
                <w:lang w:val="en-US" w:eastAsia="zh-CN" w:bidi="ar"/>
              </w:rPr>
            </w:pPr>
          </w:p>
          <w:p>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2"/>
                <w:sz w:val="32"/>
                <w:szCs w:val="32"/>
                <w:lang w:val="en-US" w:eastAsia="zh-CN" w:bidi="ar"/>
              </w:rPr>
            </w:pPr>
          </w:p>
          <w:p>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2"/>
                <w:sz w:val="32"/>
                <w:szCs w:val="32"/>
                <w:lang w:val="en-US" w:eastAsia="zh-CN" w:bidi="ar"/>
              </w:rPr>
            </w:pPr>
          </w:p>
          <w:p>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2"/>
                <w:sz w:val="32"/>
                <w:szCs w:val="32"/>
                <w:lang w:val="en-US" w:eastAsia="zh-CN" w:bidi="ar"/>
              </w:rPr>
            </w:pPr>
          </w:p>
          <w:p>
            <w:pPr>
              <w:keepNext w:val="0"/>
              <w:keepLines w:val="0"/>
              <w:widowControl/>
              <w:suppressLineNumbers w:val="0"/>
              <w:spacing w:before="0" w:beforeAutospacing="0" w:after="0" w:afterAutospacing="0" w:line="440" w:lineRule="exact"/>
              <w:ind w:left="0" w:right="0"/>
              <w:jc w:val="left"/>
              <w:rPr>
                <w:rFonts w:hint="default" w:ascii="仿宋_GB2312" w:hAnsi="等线" w:eastAsia="仿宋_GB2312" w:cs="Times New Roman"/>
                <w:spacing w:val="-1"/>
                <w:kern w:val="2"/>
                <w:sz w:val="24"/>
                <w:szCs w:val="24"/>
              </w:rPr>
            </w:pPr>
            <w:r>
              <w:rPr>
                <w:rFonts w:hint="eastAsia" w:ascii="仿宋" w:hAnsi="仿宋" w:eastAsia="仿宋" w:cs="仿宋"/>
                <w:b/>
                <w:bCs/>
                <w:kern w:val="2"/>
                <w:sz w:val="32"/>
                <w:szCs w:val="32"/>
                <w:lang w:val="en-US" w:eastAsia="zh-CN" w:bidi="ar"/>
              </w:rPr>
              <w:t xml:space="preserve"> </w:t>
            </w:r>
          </w:p>
          <w:p>
            <w:pPr>
              <w:keepNext w:val="0"/>
              <w:keepLines w:val="0"/>
              <w:widowControl/>
              <w:suppressLineNumbers w:val="0"/>
              <w:spacing w:before="0" w:beforeAutospacing="0" w:after="0" w:afterAutospacing="0" w:line="285" w:lineRule="atLeast"/>
              <w:ind w:left="0" w:right="0"/>
              <w:jc w:val="left"/>
              <w:rPr>
                <w:rFonts w:hint="eastAsia" w:ascii="宋体" w:hAnsi="宋体" w:eastAsia="宋体" w:cs="宋体"/>
                <w:color w:val="000000"/>
                <w:kern w:val="0"/>
                <w:sz w:val="24"/>
                <w:szCs w:val="24"/>
              </w:rPr>
            </w:pPr>
            <w:r>
              <w:rPr>
                <w:rFonts w:hint="eastAsia" w:ascii="黑体" w:hAnsi="宋体" w:eastAsia="黑体" w:cs="黑体"/>
                <w:color w:val="000000"/>
                <w:kern w:val="0"/>
                <w:sz w:val="24"/>
                <w:szCs w:val="24"/>
                <w:lang w:val="en-US" w:eastAsia="zh-CN" w:bidi="ar"/>
              </w:rPr>
              <w:t>六、教学计划表</w:t>
            </w:r>
          </w:p>
          <w:tbl>
            <w:tblPr>
              <w:tblStyle w:val="5"/>
              <w:tblpPr w:leftFromText="180" w:rightFromText="180" w:vertAnchor="text" w:horzAnchor="page" w:tblpX="101" w:tblpY="304"/>
              <w:tblOverlap w:val="never"/>
              <w:tblW w:w="85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1"/>
              <w:gridCol w:w="891"/>
              <w:gridCol w:w="371"/>
              <w:gridCol w:w="1646"/>
              <w:gridCol w:w="455"/>
              <w:gridCol w:w="486"/>
              <w:gridCol w:w="486"/>
              <w:gridCol w:w="620"/>
              <w:gridCol w:w="999"/>
              <w:gridCol w:w="972"/>
              <w:gridCol w:w="7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1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bookmarkStart w:id="0" w:name="OLE_LINK1"/>
                  <w:r>
                    <w:rPr>
                      <w:rFonts w:hint="eastAsia" w:ascii="Times New Roman" w:hAnsi="Times New Roman" w:eastAsia="仿宋_GB2312" w:cs="仿宋_GB2312"/>
                      <w:b w:val="0"/>
                      <w:i w:val="0"/>
                      <w:iCs w:val="0"/>
                      <w:color w:val="000000"/>
                      <w:kern w:val="0"/>
                      <w:sz w:val="18"/>
                      <w:szCs w:val="16"/>
                      <w:lang w:val="en-US" w:eastAsia="zh-CN" w:bidi="ar"/>
                    </w:rPr>
                    <w:t>课程类别</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课程名称</w:t>
                  </w:r>
                </w:p>
              </w:tc>
              <w:tc>
                <w:tcPr>
                  <w:tcW w:w="455"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学分</w:t>
                  </w:r>
                </w:p>
              </w:tc>
              <w:tc>
                <w:tcPr>
                  <w:tcW w:w="48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总学时</w:t>
                  </w:r>
                </w:p>
              </w:tc>
              <w:tc>
                <w:tcPr>
                  <w:tcW w:w="110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学时</w:t>
                  </w:r>
                </w:p>
              </w:tc>
              <w:tc>
                <w:tcPr>
                  <w:tcW w:w="999"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考核方式</w:t>
                  </w:r>
                </w:p>
              </w:tc>
              <w:tc>
                <w:tcPr>
                  <w:tcW w:w="972"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开课学期</w:t>
                  </w:r>
                </w:p>
              </w:tc>
              <w:tc>
                <w:tcPr>
                  <w:tcW w:w="747" w:type="dxa"/>
                  <w:vMerge w:val="restart"/>
                  <w:tcBorders>
                    <w:top w:val="single" w:color="000000" w:sz="4" w:space="0"/>
                    <w:left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455"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48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讲授</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实验/实践</w:t>
                  </w:r>
                </w:p>
              </w:tc>
              <w:tc>
                <w:tcPr>
                  <w:tcW w:w="999"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972"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仿宋_GB2312"/>
                      <w:b w:val="0"/>
                      <w:sz w:val="18"/>
                      <w:szCs w:val="24"/>
                    </w:rPr>
                  </w:pPr>
                </w:p>
              </w:tc>
              <w:tc>
                <w:tcPr>
                  <w:tcW w:w="747" w:type="dxa"/>
                  <w:vMerge w:val="continue"/>
                  <w:tcBorders>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通识课程</w:t>
                  </w:r>
                </w:p>
              </w:tc>
              <w:tc>
                <w:tcPr>
                  <w:tcW w:w="1262"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通识必修课程</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思想道德修养与法律基础</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中国近现代史纲要</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马克思主义基本原理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毛泽东思想和中国特色社会主义理论体系</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形势与政策</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2"/>
                      <w:sz w:val="18"/>
                      <w:szCs w:val="16"/>
                      <w:lang w:val="en-US" w:eastAsia="zh-CN" w:bidi="ar"/>
                    </w:rPr>
                    <w:t xml:space="preserve">1 </w:t>
                  </w:r>
                  <w:r>
                    <w:rPr>
                      <w:rStyle w:val="18"/>
                      <w:rFonts w:hint="eastAsia" w:ascii="Times New Roman" w:hAnsi="Times New Roman" w:eastAsia="仿宋_GB2312" w:cs="仿宋_GB2312"/>
                      <w:b w:val="0"/>
                      <w:i w:val="0"/>
                      <w:iCs w:val="0"/>
                      <w:color w:val="000000"/>
                      <w:kern w:val="2"/>
                      <w:sz w:val="18"/>
                      <w:szCs w:val="16"/>
                      <w:lang w:val="en-US" w:eastAsia="zh-CN" w:bidi="ar"/>
                    </w:rPr>
                    <w:t>～</w:t>
                  </w:r>
                  <w:r>
                    <w:rPr>
                      <w:rFonts w:hint="eastAsia" w:ascii="Times New Roman" w:hAnsi="Times New Roman" w:eastAsia="仿宋_GB2312" w:cs="仿宋_GB2312"/>
                      <w:b w:val="0"/>
                      <w:i w:val="0"/>
                      <w:iCs w:val="0"/>
                      <w:color w:val="000000"/>
                      <w:kern w:val="2"/>
                      <w:sz w:val="18"/>
                      <w:szCs w:val="16"/>
                      <w:lang w:val="en-US" w:eastAsia="zh-CN" w:bidi="ar"/>
                    </w:rPr>
                    <w:t>8</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仿宋_GB2312" w:hAnsi="Times New Roman" w:eastAsia="仿宋_GB2312" w:cs="仿宋_GB2312"/>
                      <w:b w:val="0"/>
                      <w:i w:val="0"/>
                      <w:iCs w:val="0"/>
                      <w:color w:val="000000"/>
                      <w:kern w:val="0"/>
                      <w:sz w:val="18"/>
                      <w:szCs w:val="18"/>
                      <w:lang w:val="en-US" w:eastAsia="zh-CN" w:bidi="ar"/>
                    </w:rPr>
                    <w:t>习近平新时代中国特色社会主义思想概论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Times New Roman" w:hAnsi="Times New Roman" w:eastAsia="仿宋_GB2312" w:cs="Times New Roman"/>
                      <w:b w:val="0"/>
                      <w:i w:val="0"/>
                      <w:iCs w:val="0"/>
                      <w:color w:val="000000"/>
                      <w:kern w:val="0"/>
                      <w:sz w:val="18"/>
                      <w:szCs w:val="18"/>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Times New Roman" w:hAnsi="Times New Roman" w:eastAsia="仿宋_GB2312" w:cs="Times New Roman"/>
                      <w:b w:val="0"/>
                      <w:i w:val="0"/>
                      <w:iCs w:val="0"/>
                      <w:color w:val="000000"/>
                      <w:kern w:val="0"/>
                      <w:sz w:val="18"/>
                      <w:szCs w:val="18"/>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Times New Roman" w:hAnsi="Times New Roman" w:eastAsia="仿宋_GB2312" w:cs="Times New Roman"/>
                      <w:b w:val="0"/>
                      <w:i w:val="0"/>
                      <w:iCs w:val="0"/>
                      <w:color w:val="000000"/>
                      <w:kern w:val="0"/>
                      <w:sz w:val="18"/>
                      <w:szCs w:val="18"/>
                      <w:lang w:val="en-US" w:eastAsia="zh-CN" w:bidi="ar"/>
                    </w:rPr>
                    <w:t>48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Times New Roman" w:hAnsi="Times New Roman" w:eastAsia="仿宋_GB2312" w:cs="Times New Roman"/>
                      <w:b w:val="0"/>
                      <w:i w:val="0"/>
                      <w:iCs w:val="0"/>
                      <w:color w:val="000000"/>
                      <w:kern w:val="0"/>
                      <w:sz w:val="18"/>
                      <w:szCs w:val="18"/>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仿宋_GB2312" w:hAnsi="Times New Roman" w:eastAsia="仿宋_GB2312" w:cs="仿宋_GB2312"/>
                      <w:b w:val="0"/>
                      <w:i w:val="0"/>
                      <w:iCs w:val="0"/>
                      <w:color w:val="000000"/>
                      <w:kern w:val="0"/>
                      <w:sz w:val="18"/>
                      <w:szCs w:val="18"/>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color w:val="000000"/>
                      <w:kern w:val="2"/>
                      <w:sz w:val="18"/>
                      <w:szCs w:val="18"/>
                      <w:lang w:val="en-US" w:eastAsia="zh-CN" w:bidi="ar-SA"/>
                    </w:rPr>
                  </w:pPr>
                  <w:r>
                    <w:rPr>
                      <w:rFonts w:hint="default" w:ascii="Times New Roman" w:hAnsi="Times New Roman" w:eastAsia="仿宋_GB2312" w:cs="Times New Roman"/>
                      <w:b w:val="0"/>
                      <w:i w:val="0"/>
                      <w:iCs w:val="0"/>
                      <w:color w:val="000000"/>
                      <w:kern w:val="0"/>
                      <w:sz w:val="18"/>
                      <w:szCs w:val="18"/>
                      <w:lang w:val="en-US" w:eastAsia="zh-CN" w:bidi="ar"/>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i w:val="0"/>
                      <w:iCs w:val="0"/>
                      <w:color w:val="000000"/>
                      <w:kern w:val="2"/>
                      <w:sz w:val="18"/>
                      <w:szCs w:val="1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大学英语</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192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128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2"/>
                      <w:sz w:val="18"/>
                      <w:szCs w:val="16"/>
                      <w:lang w:val="en-US" w:eastAsia="zh-CN" w:bidi="ar"/>
                    </w:rPr>
                    <w:t xml:space="preserve">1 </w:t>
                  </w:r>
                  <w:r>
                    <w:rPr>
                      <w:rStyle w:val="18"/>
                      <w:rFonts w:hint="eastAsia" w:ascii="Times New Roman" w:hAnsi="Times New Roman" w:eastAsia="仿宋_GB2312" w:cs="仿宋_GB2312"/>
                      <w:b w:val="0"/>
                      <w:i w:val="0"/>
                      <w:iCs w:val="0"/>
                      <w:color w:val="000000"/>
                      <w:kern w:val="2"/>
                      <w:sz w:val="18"/>
                      <w:szCs w:val="16"/>
                      <w:lang w:val="en-US" w:eastAsia="zh-CN" w:bidi="ar"/>
                    </w:rPr>
                    <w:t>～</w:t>
                  </w:r>
                  <w:r>
                    <w:rPr>
                      <w:rFonts w:hint="eastAsia" w:ascii="Times New Roman" w:hAnsi="Times New Roman" w:eastAsia="仿宋_GB2312" w:cs="仿宋_GB2312"/>
                      <w:b w:val="0"/>
                      <w:i w:val="0"/>
                      <w:iCs w:val="0"/>
                      <w:color w:val="000000"/>
                      <w:kern w:val="2"/>
                      <w:sz w:val="18"/>
                      <w:szCs w:val="16"/>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大学语文</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信息处理技术</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大学体育</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128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128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2"/>
                      <w:sz w:val="18"/>
                      <w:szCs w:val="16"/>
                      <w:lang w:val="en-US" w:eastAsia="zh-CN" w:bidi="ar"/>
                    </w:rPr>
                    <w:t>1</w:t>
                  </w:r>
                  <w:r>
                    <w:rPr>
                      <w:rStyle w:val="18"/>
                      <w:rFonts w:hint="eastAsia" w:ascii="Times New Roman" w:hAnsi="Times New Roman" w:eastAsia="仿宋_GB2312" w:cs="仿宋_GB2312"/>
                      <w:b w:val="0"/>
                      <w:i w:val="0"/>
                      <w:iCs w:val="0"/>
                      <w:color w:val="000000"/>
                      <w:kern w:val="2"/>
                      <w:sz w:val="18"/>
                      <w:szCs w:val="16"/>
                      <w:lang w:val="en-US" w:eastAsia="zh-CN" w:bidi="ar"/>
                    </w:rPr>
                    <w:t>～</w:t>
                  </w:r>
                  <w:r>
                    <w:rPr>
                      <w:rFonts w:hint="eastAsia" w:ascii="Times New Roman" w:hAnsi="Times New Roman" w:eastAsia="仿宋_GB2312" w:cs="仿宋_GB2312"/>
                      <w:b w:val="0"/>
                      <w:i w:val="0"/>
                      <w:iCs w:val="0"/>
                      <w:color w:val="000000"/>
                      <w:kern w:val="2"/>
                      <w:sz w:val="18"/>
                      <w:szCs w:val="16"/>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心理健康教育</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职业生涯规划</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就业指导</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创业基础</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军事理论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kern w:val="2"/>
                      <w:sz w:val="18"/>
                      <w:szCs w:val="18"/>
                      <w:lang w:val="en-US" w:eastAsia="zh-CN" w:bidi="ar-SA"/>
                    </w:rPr>
                  </w:pPr>
                  <w:r>
                    <w:rPr>
                      <w:rFonts w:hint="default" w:ascii="仿宋_GB2312" w:hAnsi="Times New Roman" w:eastAsia="仿宋_GB2312" w:cs="仿宋_GB2312"/>
                      <w:b w:val="0"/>
                      <w:i w:val="0"/>
                      <w:iCs w:val="0"/>
                      <w:kern w:val="0"/>
                      <w:sz w:val="18"/>
                      <w:szCs w:val="18"/>
                      <w:lang w:val="en-US" w:eastAsia="zh-CN" w:bidi="ar"/>
                    </w:rPr>
                    <w:t>小计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kern w:val="2"/>
                      <w:sz w:val="18"/>
                      <w:szCs w:val="18"/>
                      <w:lang w:val="en-US" w:eastAsia="zh-CN" w:bidi="ar-SA"/>
                    </w:rPr>
                  </w:pPr>
                  <w:r>
                    <w:rPr>
                      <w:rFonts w:hint="default" w:ascii="Times New Roman" w:hAnsi="Times New Roman" w:eastAsia="仿宋_GB2312" w:cs="Times New Roman"/>
                      <w:b w:val="0"/>
                      <w:i w:val="0"/>
                      <w:iCs w:val="0"/>
                      <w:kern w:val="0"/>
                      <w:sz w:val="18"/>
                      <w:szCs w:val="18"/>
                      <w:lang w:val="en-US" w:eastAsia="zh-CN" w:bidi="ar"/>
                    </w:rPr>
                    <w:t>43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kern w:val="2"/>
                      <w:sz w:val="18"/>
                      <w:szCs w:val="18"/>
                      <w:lang w:val="en-US" w:eastAsia="zh-CN" w:bidi="ar-SA"/>
                    </w:rPr>
                  </w:pPr>
                  <w:r>
                    <w:rPr>
                      <w:rFonts w:hint="default" w:ascii="Times New Roman" w:hAnsi="Times New Roman" w:eastAsia="仿宋_GB2312" w:cs="Times New Roman"/>
                      <w:b w:val="0"/>
                      <w:i w:val="0"/>
                      <w:iCs w:val="0"/>
                      <w:kern w:val="0"/>
                      <w:sz w:val="18"/>
                      <w:szCs w:val="18"/>
                      <w:lang w:val="en-US" w:eastAsia="zh-CN" w:bidi="ar"/>
                    </w:rPr>
                    <w:t>816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kern w:val="2"/>
                      <w:sz w:val="18"/>
                      <w:szCs w:val="18"/>
                      <w:lang w:val="en-US" w:eastAsia="zh-CN" w:bidi="ar-SA"/>
                    </w:rPr>
                  </w:pPr>
                  <w:r>
                    <w:rPr>
                      <w:rFonts w:hint="default" w:ascii="Times New Roman" w:hAnsi="Times New Roman" w:eastAsia="仿宋_GB2312" w:cs="Times New Roman"/>
                      <w:b w:val="0"/>
                      <w:i w:val="0"/>
                      <w:iCs w:val="0"/>
                      <w:kern w:val="0"/>
                      <w:sz w:val="18"/>
                      <w:szCs w:val="18"/>
                      <w:lang w:val="en-US" w:eastAsia="zh-CN" w:bidi="ar"/>
                    </w:rPr>
                    <w:t>560</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仿宋_GB2312"/>
                      <w:b w:val="0"/>
                      <w:i w:val="0"/>
                      <w:iCs w:val="0"/>
                      <w:kern w:val="2"/>
                      <w:sz w:val="18"/>
                      <w:szCs w:val="18"/>
                      <w:lang w:val="en-US" w:eastAsia="zh-CN" w:bidi="ar-SA"/>
                    </w:rPr>
                  </w:pPr>
                  <w:r>
                    <w:rPr>
                      <w:rFonts w:hint="default" w:ascii="Times New Roman" w:hAnsi="Times New Roman" w:eastAsia="仿宋_GB2312" w:cs="Times New Roman"/>
                      <w:b w:val="0"/>
                      <w:i w:val="0"/>
                      <w:iCs w:val="0"/>
                      <w:kern w:val="0"/>
                      <w:sz w:val="18"/>
                      <w:szCs w:val="18"/>
                      <w:lang w:val="en-US" w:eastAsia="zh-CN" w:bidi="ar"/>
                    </w:rPr>
                    <w:t>256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0"/>
                      <w:sz w:val="18"/>
                      <w:szCs w:val="16"/>
                      <w:lang w:val="en-US" w:eastAsia="zh-CN" w:bidi="ar"/>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0"/>
                      <w:sz w:val="18"/>
                      <w:szCs w:val="16"/>
                      <w:lang w:val="en-US" w:eastAsia="zh-CN" w:bidi="ar"/>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通识选修课程</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文学经典与文化传承模块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每一个模块必修1个学分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艺术创作与审美体验模块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社会发展与国际动向模块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哲学思维与自我素养模块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经济管理与法律社会模块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自然科技与基本技能模块</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小    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96</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96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2908"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合计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49</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912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640</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256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专业课程</w:t>
                  </w:r>
                </w:p>
              </w:tc>
              <w:tc>
                <w:tcPr>
                  <w:tcW w:w="1262" w:type="dxa"/>
                  <w:gridSpan w:val="2"/>
                  <w:vMerge w:val="restart"/>
                  <w:tcBorders>
                    <w:top w:val="nil"/>
                    <w:left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专业基础课</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高等数学B（上）</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高等数学B（下）</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市场营销学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财务管理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403152"/>
                      <w:kern w:val="2"/>
                      <w:sz w:val="18"/>
                      <w:szCs w:val="19"/>
                    </w:rPr>
                  </w:pPr>
                  <w:r>
                    <w:rPr>
                      <w:rFonts w:hint="eastAsia" w:ascii="Times New Roman" w:hAnsi="Times New Roman" w:eastAsia="仿宋_GB2312" w:cs="仿宋_GB2312"/>
                      <w:b w:val="0"/>
                      <w:i w:val="0"/>
                      <w:iCs w:val="0"/>
                      <w:color w:val="403152"/>
                      <w:kern w:val="0"/>
                      <w:sz w:val="18"/>
                      <w:szCs w:val="19"/>
                      <w:lang w:val="en-US" w:eastAsia="zh-CN" w:bidi="ar"/>
                    </w:rPr>
                    <w:t>2</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经济学原理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403152"/>
                      <w:kern w:val="2"/>
                      <w:sz w:val="18"/>
                      <w:szCs w:val="19"/>
                    </w:rPr>
                  </w:pPr>
                  <w:r>
                    <w:rPr>
                      <w:rFonts w:hint="eastAsia" w:ascii="Times New Roman" w:hAnsi="Times New Roman" w:eastAsia="仿宋_GB2312" w:cs="仿宋_GB2312"/>
                      <w:b w:val="0"/>
                      <w:i w:val="0"/>
                      <w:iCs w:val="0"/>
                      <w:color w:val="403152"/>
                      <w:kern w:val="0"/>
                      <w:sz w:val="18"/>
                      <w:szCs w:val="19"/>
                      <w:lang w:val="en-US" w:eastAsia="zh-CN" w:bidi="ar"/>
                    </w:rPr>
                    <w:t>2</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会计学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403152"/>
                      <w:kern w:val="2"/>
                      <w:sz w:val="18"/>
                      <w:szCs w:val="19"/>
                    </w:rPr>
                  </w:pPr>
                  <w:r>
                    <w:rPr>
                      <w:rFonts w:hint="eastAsia" w:ascii="Times New Roman" w:hAnsi="Times New Roman" w:eastAsia="仿宋_GB2312" w:cs="仿宋_GB2312"/>
                      <w:b w:val="0"/>
                      <w:i w:val="0"/>
                      <w:iCs w:val="0"/>
                      <w:color w:val="403152"/>
                      <w:kern w:val="0"/>
                      <w:sz w:val="18"/>
                      <w:szCs w:val="19"/>
                      <w:lang w:val="en-US" w:eastAsia="zh-CN" w:bidi="ar"/>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管理学原理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403152"/>
                      <w:kern w:val="2"/>
                      <w:sz w:val="18"/>
                      <w:szCs w:val="19"/>
                    </w:rPr>
                  </w:pPr>
                  <w:r>
                    <w:rPr>
                      <w:rFonts w:hint="eastAsia" w:ascii="Times New Roman" w:hAnsi="Times New Roman" w:eastAsia="仿宋_GB2312" w:cs="仿宋_GB2312"/>
                      <w:b w:val="0"/>
                      <w:i w:val="0"/>
                      <w:iCs w:val="0"/>
                      <w:color w:val="403152"/>
                      <w:kern w:val="0"/>
                      <w:sz w:val="18"/>
                      <w:szCs w:val="19"/>
                      <w:lang w:val="en-US" w:eastAsia="zh-CN" w:bidi="ar"/>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旅游学概论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403152"/>
                      <w:kern w:val="2"/>
                      <w:sz w:val="18"/>
                      <w:szCs w:val="19"/>
                    </w:rPr>
                  </w:pPr>
                  <w:r>
                    <w:rPr>
                      <w:rFonts w:hint="eastAsia" w:ascii="Times New Roman" w:hAnsi="Times New Roman" w:eastAsia="仿宋_GB2312" w:cs="仿宋_GB2312"/>
                      <w:b w:val="0"/>
                      <w:i w:val="0"/>
                      <w:iCs w:val="0"/>
                      <w:color w:val="403152"/>
                      <w:kern w:val="0"/>
                      <w:sz w:val="18"/>
                      <w:szCs w:val="19"/>
                      <w:lang w:val="en-US" w:eastAsia="zh-CN" w:bidi="ar"/>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仿宋_GB2312"/>
                      <w:b w:val="0"/>
                      <w:i w:val="0"/>
                      <w:iCs w:val="0"/>
                      <w:color w:val="FFFFFF" w:themeColor="background1"/>
                      <w:kern w:val="2"/>
                      <w:sz w:val="18"/>
                      <w:szCs w:val="16"/>
                      <w:highlight w:val="none"/>
                      <w14:textFill>
                        <w14:solidFill>
                          <w14:schemeClr w14:val="bg1"/>
                        </w14:solidFill>
                      </w14:textFill>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highlight w:val="none"/>
                    </w:rPr>
                  </w:pPr>
                  <w:r>
                    <w:rPr>
                      <w:rFonts w:hint="eastAsia" w:ascii="Times New Roman" w:hAnsi="Times New Roman" w:eastAsia="仿宋_GB2312" w:cs="仿宋_GB2312"/>
                      <w:b w:val="0"/>
                      <w:i w:val="0"/>
                      <w:iCs w:val="0"/>
                      <w:color w:val="000000"/>
                      <w:kern w:val="0"/>
                      <w:sz w:val="18"/>
                      <w:szCs w:val="16"/>
                      <w:highlight w:val="none"/>
                      <w:lang w:val="en-US" w:eastAsia="zh-CN" w:bidi="ar"/>
                    </w:rPr>
                    <w:t>云南旅游导论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highlight w:val="none"/>
                    </w:rPr>
                  </w:pPr>
                  <w:r>
                    <w:rPr>
                      <w:rFonts w:hint="eastAsia" w:ascii="Times New Roman" w:hAnsi="Times New Roman" w:eastAsia="仿宋_GB2312" w:cs="仿宋_GB2312"/>
                      <w:b w:val="0"/>
                      <w:i w:val="0"/>
                      <w:iCs w:val="0"/>
                      <w:color w:val="000000"/>
                      <w:kern w:val="0"/>
                      <w:sz w:val="18"/>
                      <w:szCs w:val="16"/>
                      <w:highlight w:val="none"/>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highlight w:val="none"/>
                    </w:rPr>
                  </w:pPr>
                  <w:r>
                    <w:rPr>
                      <w:rFonts w:hint="eastAsia" w:ascii="Times New Roman" w:hAnsi="Times New Roman" w:eastAsia="仿宋_GB2312" w:cs="仿宋_GB2312"/>
                      <w:b w:val="0"/>
                      <w:i w:val="0"/>
                      <w:iCs w:val="0"/>
                      <w:color w:val="000000"/>
                      <w:kern w:val="0"/>
                      <w:sz w:val="18"/>
                      <w:szCs w:val="16"/>
                      <w:highlight w:val="none"/>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highlight w:val="none"/>
                    </w:rPr>
                  </w:pPr>
                  <w:r>
                    <w:rPr>
                      <w:rFonts w:hint="eastAsia" w:ascii="Times New Roman" w:hAnsi="Times New Roman" w:eastAsia="仿宋_GB2312" w:cs="仿宋_GB2312"/>
                      <w:b w:val="0"/>
                      <w:i w:val="0"/>
                      <w:iCs w:val="0"/>
                      <w:color w:val="000000"/>
                      <w:kern w:val="0"/>
                      <w:sz w:val="18"/>
                      <w:szCs w:val="16"/>
                      <w:highlight w:val="none"/>
                      <w:lang w:val="en-US" w:eastAsia="zh-CN" w:bidi="ar"/>
                    </w:rPr>
                    <w:t>24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highlight w:val="none"/>
                    </w:rPr>
                  </w:pPr>
                  <w:r>
                    <w:rPr>
                      <w:rFonts w:hint="eastAsia" w:ascii="Times New Roman" w:hAnsi="Times New Roman" w:eastAsia="仿宋_GB2312" w:cs="仿宋_GB2312"/>
                      <w:b w:val="0"/>
                      <w:i w:val="0"/>
                      <w:iCs w:val="0"/>
                      <w:color w:val="000000"/>
                      <w:kern w:val="0"/>
                      <w:sz w:val="18"/>
                      <w:szCs w:val="16"/>
                      <w:highlight w:val="none"/>
                      <w:lang w:val="en-US" w:eastAsia="zh-CN" w:bidi="ar"/>
                    </w:rPr>
                    <w:t>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highlight w:val="none"/>
                      <w:lang w:val="en-US" w:eastAsia="zh-CN"/>
                    </w:rPr>
                  </w:pPr>
                  <w:r>
                    <w:rPr>
                      <w:rFonts w:hint="eastAsia" w:ascii="Times New Roman" w:hAnsi="Times New Roman" w:eastAsia="仿宋_GB2312" w:cs="仿宋_GB2312"/>
                      <w:b w:val="0"/>
                      <w:i w:val="0"/>
                      <w:iCs w:val="0"/>
                      <w:color w:val="000000"/>
                      <w:kern w:val="2"/>
                      <w:sz w:val="18"/>
                      <w:szCs w:val="16"/>
                      <w:highlight w:val="none"/>
                      <w:lang w:val="en-US" w:eastAsia="zh-CN"/>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highlight w:val="none"/>
                      <w:lang w:val="en-US" w:eastAsia="zh-CN"/>
                    </w:rPr>
                  </w:pPr>
                  <w:r>
                    <w:rPr>
                      <w:rFonts w:hint="eastAsia" w:ascii="Times New Roman" w:hAnsi="Times New Roman" w:eastAsia="仿宋_GB2312" w:cs="仿宋_GB2312"/>
                      <w:b w:val="0"/>
                      <w:i w:val="0"/>
                      <w:iCs w:val="0"/>
                      <w:color w:val="000000"/>
                      <w:kern w:val="2"/>
                      <w:sz w:val="18"/>
                      <w:szCs w:val="16"/>
                      <w:highlight w:val="none"/>
                      <w:lang w:val="en-US" w:eastAsia="zh-CN"/>
                    </w:rPr>
                    <w:t>3</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小计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464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398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2"/>
                      <w:sz w:val="18"/>
                      <w:szCs w:val="16"/>
                      <w:lang w:val="en-US" w:eastAsia="zh-CN"/>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restart"/>
                  <w:tcBorders>
                    <w:top w:val="nil"/>
                    <w:left w:val="nil"/>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专业核心课程</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旅游目的地管理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旅游消费者行为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旅游接待业</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智慧旅游</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前厅与客房管理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餐饮服务管理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旅游规划与开发</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bCs/>
                      <w:i w:val="0"/>
                      <w:iCs w:val="0"/>
                      <w:color w:val="000000"/>
                      <w:kern w:val="2"/>
                      <w:sz w:val="18"/>
                      <w:szCs w:val="16"/>
                    </w:rPr>
                  </w:pPr>
                  <w:r>
                    <w:rPr>
                      <w:rFonts w:hint="eastAsia" w:ascii="Times New Roman" w:hAnsi="Times New Roman" w:eastAsia="仿宋_GB2312" w:cs="仿宋_GB2312"/>
                      <w:b w:val="0"/>
                      <w:bCs/>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bCs/>
                      <w:i w:val="0"/>
                      <w:iCs w:val="0"/>
                      <w:color w:val="000000"/>
                      <w:kern w:val="2"/>
                      <w:sz w:val="18"/>
                      <w:szCs w:val="16"/>
                    </w:rPr>
                  </w:pPr>
                  <w:r>
                    <w:rPr>
                      <w:rFonts w:hint="eastAsia" w:ascii="Times New Roman" w:hAnsi="Times New Roman" w:eastAsia="仿宋_GB2312" w:cs="仿宋_GB2312"/>
                      <w:b w:val="0"/>
                      <w:bCs/>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bCs/>
                      <w:i w:val="0"/>
                      <w:iCs w:val="0"/>
                      <w:color w:val="000000"/>
                      <w:kern w:val="2"/>
                      <w:sz w:val="18"/>
                      <w:szCs w:val="16"/>
                    </w:rPr>
                  </w:pPr>
                  <w:r>
                    <w:rPr>
                      <w:rFonts w:hint="eastAsia" w:ascii="Times New Roman" w:hAnsi="Times New Roman" w:eastAsia="仿宋_GB2312" w:cs="仿宋_GB2312"/>
                      <w:b w:val="0"/>
                      <w:bCs/>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教育学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5</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旅游文化学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8</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旅游法规</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心理学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教学方法论</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考试</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9"/>
                    </w:rPr>
                  </w:pPr>
                  <w:r>
                    <w:rPr>
                      <w:rFonts w:hint="eastAsia" w:ascii="Times New Roman" w:hAnsi="Times New Roman" w:eastAsia="仿宋_GB2312" w:cs="仿宋_GB2312"/>
                      <w:b w:val="0"/>
                      <w:i w:val="0"/>
                      <w:iCs w:val="0"/>
                      <w:color w:val="000000"/>
                      <w:kern w:val="0"/>
                      <w:sz w:val="18"/>
                      <w:szCs w:val="19"/>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小计</w:t>
                  </w:r>
                </w:p>
              </w:tc>
              <w:tc>
                <w:tcPr>
                  <w:tcW w:w="455"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Times New Roman" w:hAnsi="Times New Roman" w:eastAsia="仿宋_GB2312" w:cs="仿宋_GB2312"/>
                      <w:b w:val="0"/>
                      <w:i w:val="0"/>
                      <w:iCs w:val="0"/>
                      <w:color w:val="000000"/>
                      <w:kern w:val="2"/>
                      <w:sz w:val="18"/>
                      <w:szCs w:val="22"/>
                    </w:rPr>
                  </w:pPr>
                  <w:r>
                    <w:rPr>
                      <w:rFonts w:hint="eastAsia" w:ascii="Times New Roman" w:hAnsi="Times New Roman" w:eastAsia="仿宋_GB2312" w:cs="仿宋_GB2312"/>
                      <w:b w:val="0"/>
                      <w:i w:val="0"/>
                      <w:iCs w:val="0"/>
                      <w:color w:val="000000"/>
                      <w:kern w:val="0"/>
                      <w:sz w:val="18"/>
                      <w:szCs w:val="22"/>
                      <w:lang w:val="en-US" w:eastAsia="zh-CN" w:bidi="ar"/>
                    </w:rPr>
                    <w:t>35</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528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398</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130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专业选修课</w:t>
                  </w:r>
                </w:p>
              </w:tc>
              <w:tc>
                <w:tcPr>
                  <w:tcW w:w="37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医疗保健旅游类</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 xml:space="preserve"> 健康管理学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选 修总学 分不少 于 24学分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 xml:space="preserve"> 中医药膳学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 xml:space="preserve"> 中医养生方法技术学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中医健康管理适宜技术</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bCs/>
                      <w:i w:val="0"/>
                      <w:iCs w:val="0"/>
                      <w:color w:val="000000"/>
                      <w:kern w:val="2"/>
                      <w:sz w:val="18"/>
                      <w:szCs w:val="16"/>
                    </w:rPr>
                  </w:pPr>
                  <w:r>
                    <w:rPr>
                      <w:rFonts w:hint="eastAsia" w:ascii="Times New Roman" w:hAnsi="Times New Roman" w:eastAsia="仿宋_GB2312" w:cs="仿宋_GB2312"/>
                      <w:b w:val="0"/>
                      <w:bCs/>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 xml:space="preserve"> 旅游饮食文化</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乡村旅游类</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乡村振兴战略与旅游实践</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乡村活动策划与 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乡村环境治理与 保护</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导游服务类</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导游基础与业务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计调业务与门店管理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5</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旅游心理学</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旅游管理与策划类</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旅游广告与策划</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旅游业发展前沿专题</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旅游人力资源管理</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16</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考查</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89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3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小计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384</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144</w:t>
                  </w: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144</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8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201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合计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实践课程</w:t>
                  </w:r>
                </w:p>
              </w:tc>
              <w:tc>
                <w:tcPr>
                  <w:tcW w:w="1262"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社会实践</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军事训练</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劳动教育</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368</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 ～8</w:t>
                  </w:r>
                </w:p>
              </w:tc>
              <w:tc>
                <w:tcPr>
                  <w:tcW w:w="74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不计入总学时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入学教育</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0.5</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毕业教育</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0.5</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7</w:t>
                  </w:r>
                </w:p>
              </w:tc>
              <w:tc>
                <w:tcPr>
                  <w:tcW w:w="74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专业实践</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专业见习</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40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2、4</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毕业实习</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10</w:t>
                  </w:r>
                </w:p>
              </w:tc>
              <w:tc>
                <w:tcPr>
                  <w:tcW w:w="48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640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7～8</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126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科研训练</w:t>
                  </w: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auto"/>
                      <w:kern w:val="2"/>
                      <w:sz w:val="18"/>
                      <w:szCs w:val="16"/>
                    </w:rPr>
                  </w:pPr>
                  <w:r>
                    <w:rPr>
                      <w:rFonts w:hint="eastAsia" w:ascii="Times New Roman" w:hAnsi="Times New Roman" w:eastAsia="仿宋_GB2312" w:cs="仿宋_GB2312"/>
                      <w:b w:val="0"/>
                      <w:i w:val="0"/>
                      <w:iCs w:val="0"/>
                      <w:color w:val="auto"/>
                      <w:kern w:val="0"/>
                      <w:sz w:val="18"/>
                      <w:szCs w:val="16"/>
                      <w:lang w:val="en-US" w:eastAsia="zh-CN" w:bidi="ar"/>
                    </w:rPr>
                    <w:t>毕业论文</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6</w:t>
                  </w:r>
                </w:p>
              </w:tc>
              <w:tc>
                <w:tcPr>
                  <w:tcW w:w="48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cs="仿宋_GB2312"/>
                      <w:b w:val="0"/>
                      <w:sz w:val="18"/>
                      <w:szCs w:val="24"/>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7～8</w:t>
                  </w: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126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16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小计</w:t>
                  </w:r>
                </w:p>
              </w:tc>
              <w:tc>
                <w:tcPr>
                  <w:tcW w:w="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22</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720</w:t>
                  </w:r>
                </w:p>
              </w:tc>
              <w:tc>
                <w:tcPr>
                  <w:tcW w:w="48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6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仿宋_GB2312"/>
                      <w:b w:val="0"/>
                      <w:i w:val="0"/>
                      <w:iCs w:val="0"/>
                      <w:color w:val="000000"/>
                      <w:kern w:val="2"/>
                      <w:sz w:val="18"/>
                      <w:szCs w:val="16"/>
                    </w:rPr>
                  </w:pPr>
                  <w:r>
                    <w:rPr>
                      <w:rFonts w:hint="eastAsia" w:ascii="Times New Roman" w:hAnsi="Times New Roman" w:eastAsia="仿宋_GB2312" w:cs="仿宋_GB2312"/>
                      <w:b w:val="0"/>
                      <w:i w:val="0"/>
                      <w:iCs w:val="0"/>
                      <w:color w:val="000000"/>
                      <w:kern w:val="0"/>
                      <w:sz w:val="18"/>
                      <w:szCs w:val="16"/>
                      <w:lang w:val="en-US" w:eastAsia="zh-CN" w:bidi="ar"/>
                    </w:rPr>
                    <w:t>720</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c>
                <w:tcPr>
                  <w:tcW w:w="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_GB2312"/>
                      <w:b w:val="0"/>
                      <w:i w:val="0"/>
                      <w:iCs w:val="0"/>
                      <w:color w:val="000000"/>
                      <w:kern w:val="2"/>
                      <w:sz w:val="18"/>
                      <w:szCs w:val="16"/>
                    </w:rPr>
                  </w:pPr>
                </w:p>
              </w:tc>
            </w:tr>
            <w:bookmarkEnd w:id="0"/>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widowControl w:val="0"/>
              <w:suppressLineNumbers w:val="0"/>
              <w:spacing w:before="0" w:beforeAutospacing="0" w:after="0" w:afterAutospacing="0"/>
              <w:ind w:left="0" w:right="0"/>
              <w:jc w:val="both"/>
              <w:rPr>
                <w:rFonts w:hint="default" w:eastAsia="仿宋_GB2312"/>
                <w:sz w:val="32"/>
              </w:rPr>
            </w:pPr>
          </w:p>
          <w:p>
            <w:pPr>
              <w:keepNext w:val="0"/>
              <w:keepLines w:val="0"/>
              <w:suppressLineNumbers w:val="0"/>
              <w:spacing w:before="0" w:beforeAutospacing="0" w:after="0" w:afterAutospacing="0" w:line="0" w:lineRule="atLeast"/>
              <w:ind w:left="0" w:right="0"/>
              <w:rPr>
                <w:rFonts w:hint="default" w:eastAsia="仿宋_GB2312"/>
                <w:sz w:val="32"/>
              </w:rPr>
            </w:pPr>
          </w:p>
          <w:p>
            <w:pPr>
              <w:keepNext w:val="0"/>
              <w:keepLines w:val="0"/>
              <w:suppressLineNumbers w:val="0"/>
              <w:spacing w:before="0" w:beforeAutospacing="0" w:after="0" w:afterAutospacing="0" w:line="0" w:lineRule="atLeast"/>
              <w:ind w:left="0" w:right="0"/>
              <w:rPr>
                <w:rFonts w:hint="default" w:eastAsia="仿宋_GB2312"/>
                <w:sz w:val="32"/>
              </w:rPr>
            </w:pPr>
          </w:p>
          <w:p>
            <w:pPr>
              <w:keepNext w:val="0"/>
              <w:keepLines w:val="0"/>
              <w:suppressLineNumbers w:val="0"/>
              <w:spacing w:before="0" w:beforeAutospacing="0" w:after="0" w:afterAutospacing="0" w:line="0" w:lineRule="atLeast"/>
              <w:ind w:left="0" w:right="0"/>
              <w:jc w:val="both"/>
              <w:rPr>
                <w:rFonts w:hint="default" w:eastAsia="仿宋_GB2312"/>
                <w:sz w:val="32"/>
              </w:rPr>
            </w:pPr>
          </w:p>
        </w:tc>
      </w:tr>
    </w:tbl>
    <w:p>
      <w:pPr>
        <w:spacing w:line="360" w:lineRule="auto"/>
        <w:ind w:firstLine="480" w:firstLineChars="200"/>
        <w:rPr>
          <w:rFonts w:eastAsia="仿宋_GB2312"/>
          <w:sz w:val="24"/>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9"/>
        <w:gridCol w:w="575"/>
        <w:gridCol w:w="605"/>
        <w:gridCol w:w="1235"/>
        <w:gridCol w:w="631"/>
        <w:gridCol w:w="365"/>
        <w:gridCol w:w="967"/>
        <w:gridCol w:w="734"/>
        <w:gridCol w:w="734"/>
        <w:gridCol w:w="360"/>
        <w:gridCol w:w="364"/>
        <w:gridCol w:w="546"/>
        <w:gridCol w:w="291"/>
        <w:gridCol w:w="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宁黎涛</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男</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第一学历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1981.12</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云南山海游集团有限公司董事长</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最后学历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highlight w:val="none"/>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rPr>
            </w:pPr>
            <w:r>
              <w:rPr>
                <w:rFonts w:hint="eastAsia" w:eastAsia="仿宋_GB2312"/>
                <w:color w:val="auto"/>
                <w:sz w:val="24"/>
                <w:highlight w:val="none"/>
                <w:lang w:val="en-US" w:eastAsia="zh-CN"/>
              </w:rPr>
              <w:t xml:space="preserve">20013年6月 </w:t>
            </w:r>
            <w:r>
              <w:rPr>
                <w:rFonts w:hint="default" w:eastAsia="仿宋_GB2312"/>
                <w:color w:val="auto"/>
                <w:sz w:val="24"/>
                <w:highlight w:val="none"/>
              </w:rPr>
              <w:t>英国威尔士纽波特大学</w:t>
            </w:r>
            <w:r>
              <w:rPr>
                <w:rFonts w:hint="eastAsia" w:eastAsia="仿宋_GB2312"/>
                <w:color w:val="auto"/>
                <w:sz w:val="24"/>
                <w:highlight w:val="none"/>
                <w:lang w:val="en-US" w:eastAsia="zh-CN"/>
              </w:rPr>
              <w:t xml:space="preserve"> </w:t>
            </w:r>
            <w:r>
              <w:rPr>
                <w:rFonts w:hint="default" w:eastAsia="仿宋_GB2312"/>
                <w:color w:val="auto"/>
                <w:sz w:val="24"/>
                <w:highlight w:val="none"/>
              </w:rPr>
              <w:t>工商管理专业</w:t>
            </w:r>
          </w:p>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lang w:val="en-US" w:eastAsia="zh-CN"/>
              </w:rPr>
              <w:t xml:space="preserve">20016年6月 </w:t>
            </w:r>
            <w:r>
              <w:rPr>
                <w:rFonts w:hint="default" w:eastAsia="仿宋_GB2312"/>
                <w:color w:val="auto"/>
                <w:sz w:val="24"/>
                <w:highlight w:val="none"/>
              </w:rPr>
              <w:t>英国威尔士纽波特大学</w:t>
            </w:r>
            <w:r>
              <w:rPr>
                <w:rFonts w:hint="eastAsia" w:eastAsia="仿宋_GB2312"/>
                <w:color w:val="auto"/>
                <w:sz w:val="24"/>
                <w:highlight w:val="none"/>
                <w:lang w:val="en-US" w:eastAsia="zh-CN"/>
              </w:rPr>
              <w:t xml:space="preserve"> </w:t>
            </w:r>
            <w:r>
              <w:rPr>
                <w:rFonts w:hint="default" w:eastAsia="仿宋_GB2312"/>
                <w:color w:val="auto"/>
                <w:sz w:val="24"/>
                <w:highlight w:val="none"/>
              </w:rPr>
              <w:t>工商管理专业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lang w:val="en-US" w:eastAsia="zh-CN"/>
              </w:rPr>
              <w:t>旅游管理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在国内外重要学术刊物上发表论文共 </w:t>
            </w:r>
            <w:r>
              <w:rPr>
                <w:rFonts w:hint="eastAsia" w:eastAsia="仿宋_GB2312"/>
                <w:color w:val="auto"/>
                <w:sz w:val="24"/>
                <w:highlight w:val="none"/>
                <w:lang w:val="en-US" w:eastAsia="zh-CN"/>
              </w:rPr>
              <w:t xml:space="preserve">  </w:t>
            </w:r>
            <w:r>
              <w:rPr>
                <w:rFonts w:hint="default" w:eastAsia="仿宋_GB2312"/>
                <w:color w:val="auto"/>
                <w:sz w:val="24"/>
                <w:highlight w:val="none"/>
              </w:rPr>
              <w:t>篇； 出版专著（译著等）</w:t>
            </w:r>
            <w:r>
              <w:rPr>
                <w:rFonts w:hint="eastAsia" w:eastAsia="仿宋_GB2312"/>
                <w:color w:val="auto"/>
                <w:sz w:val="24"/>
                <w:highlight w:val="none"/>
                <w:lang w:val="en-US" w:eastAsia="zh-CN"/>
              </w:rPr>
              <w:t xml:space="preserve">  </w:t>
            </w:r>
            <w:r>
              <w:rPr>
                <w:rFonts w:hint="default" w:eastAsia="仿宋_GB2312"/>
                <w:color w:val="auto"/>
                <w:sz w:val="24"/>
                <w:highlight w:val="none"/>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获教学科研成果奖共  </w:t>
            </w:r>
            <w:r>
              <w:rPr>
                <w:rFonts w:hint="eastAsia" w:eastAsia="仿宋_GB2312"/>
                <w:color w:val="auto"/>
                <w:sz w:val="24"/>
                <w:highlight w:val="none"/>
                <w:lang w:val="en-US" w:eastAsia="zh-CN"/>
              </w:rPr>
              <w:t xml:space="preserve"> </w:t>
            </w:r>
            <w:r>
              <w:rPr>
                <w:rFonts w:hint="default" w:eastAsia="仿宋_GB2312"/>
                <w:color w:val="auto"/>
                <w:sz w:val="24"/>
                <w:highlight w:val="none"/>
              </w:rPr>
              <w:t>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9"/>
        <w:gridCol w:w="575"/>
        <w:gridCol w:w="605"/>
        <w:gridCol w:w="1235"/>
        <w:gridCol w:w="626"/>
        <w:gridCol w:w="362"/>
        <w:gridCol w:w="968"/>
        <w:gridCol w:w="735"/>
        <w:gridCol w:w="735"/>
        <w:gridCol w:w="361"/>
        <w:gridCol w:w="365"/>
        <w:gridCol w:w="547"/>
        <w:gridCol w:w="292"/>
        <w:gridCol w:w="9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张怡</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1973</w:t>
            </w:r>
            <w:r>
              <w:rPr>
                <w:rFonts w:hint="eastAsia" w:eastAsia="仿宋_GB2312"/>
                <w:sz w:val="24"/>
                <w:lang w:eastAsia="zh-CN"/>
              </w:rPr>
              <w:t>.</w:t>
            </w:r>
            <w:r>
              <w:rPr>
                <w:rFonts w:hint="default" w:eastAsia="仿宋_GB2312"/>
                <w:sz w:val="24"/>
              </w:rPr>
              <w:t>11</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山海游集团党委委员、总经理兼任民族文化公司总经理</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spacing w:val="-10"/>
                <w:sz w:val="24"/>
              </w:rPr>
            </w:pPr>
            <w:r>
              <w:rPr>
                <w:rFonts w:hint="default" w:eastAsia="仿宋_GB2312"/>
                <w:spacing w:val="-6"/>
                <w:sz w:val="24"/>
                <w:highlight w:val="none"/>
              </w:rPr>
              <w:t>第一学历和最后学历</w:t>
            </w:r>
            <w:r>
              <w:rPr>
                <w:rFonts w:hint="default" w:eastAsia="仿宋_GB2312"/>
                <w:spacing w:val="-10"/>
                <w:sz w:val="24"/>
                <w:highlight w:val="none"/>
              </w:rPr>
              <w:t>毕业时间</w:t>
            </w:r>
            <w:r>
              <w:rPr>
                <w:rFonts w:hint="default" w:eastAsia="仿宋_GB2312"/>
                <w:spacing w:val="-10"/>
                <w:sz w:val="24"/>
              </w:rPr>
              <w:t>、学校、专业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rPr>
            </w:pPr>
            <w:r>
              <w:rPr>
                <w:rFonts w:hint="eastAsia" w:eastAsia="仿宋_GB2312"/>
                <w:sz w:val="24"/>
                <w:lang w:val="en-US" w:eastAsia="zh-CN"/>
              </w:rPr>
              <w:t>1999</w:t>
            </w:r>
            <w:r>
              <w:rPr>
                <w:rFonts w:hint="eastAsia" w:eastAsia="仿宋_GB2312"/>
                <w:sz w:val="24"/>
              </w:rPr>
              <w:t>年6月  云南大学 工商管理</w:t>
            </w:r>
          </w:p>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 xml:space="preserve">2004年6月  云南大学 工商管理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主要从事工作与</w:t>
            </w:r>
          </w:p>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旅游管理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在国内外重要学术刊物上发表论文共</w:t>
            </w:r>
            <w:r>
              <w:rPr>
                <w:rFonts w:hint="eastAsia" w:eastAsia="仿宋_GB2312"/>
                <w:sz w:val="24"/>
                <w:lang w:val="en-US" w:eastAsia="zh-CN"/>
              </w:rPr>
              <w:t xml:space="preserve">  </w:t>
            </w:r>
            <w:r>
              <w:rPr>
                <w:rFonts w:hint="default" w:eastAsia="仿宋_GB2312"/>
                <w:sz w:val="24"/>
              </w:rPr>
              <w:t>篇； 出版专著（译著等）</w:t>
            </w:r>
            <w:r>
              <w:rPr>
                <w:rFonts w:hint="eastAsia" w:eastAsia="仿宋_GB2312"/>
                <w:sz w:val="24"/>
                <w:lang w:val="en-US" w:eastAsia="zh-CN"/>
              </w:rPr>
              <w:t xml:space="preserve">  </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highlight w:val="green"/>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highlight w:val="green"/>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8"/>
        <w:gridCol w:w="584"/>
        <w:gridCol w:w="614"/>
        <w:gridCol w:w="1244"/>
        <w:gridCol w:w="557"/>
        <w:gridCol w:w="322"/>
        <w:gridCol w:w="976"/>
        <w:gridCol w:w="743"/>
        <w:gridCol w:w="743"/>
        <w:gridCol w:w="369"/>
        <w:gridCol w:w="373"/>
        <w:gridCol w:w="555"/>
        <w:gridCol w:w="300"/>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英觉扎西</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1987</w:t>
            </w:r>
            <w:r>
              <w:rPr>
                <w:rFonts w:hint="eastAsia" w:eastAsia="仿宋_GB2312"/>
                <w:sz w:val="24"/>
                <w:lang w:eastAsia="zh-CN"/>
              </w:rPr>
              <w:t>.</w:t>
            </w:r>
            <w:r>
              <w:rPr>
                <w:rFonts w:hint="default" w:eastAsia="仿宋_GB2312"/>
                <w:sz w:val="24"/>
              </w:rPr>
              <w:t>2</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山海游集团副总经理兼任民族文化公司副总经理</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spacing w:val="-10"/>
                <w:sz w:val="24"/>
                <w:highlight w:val="none"/>
              </w:rPr>
            </w:pPr>
            <w:r>
              <w:rPr>
                <w:rFonts w:hint="default" w:eastAsia="仿宋_GB2312"/>
                <w:spacing w:val="-6"/>
                <w:sz w:val="24"/>
                <w:highlight w:val="none"/>
              </w:rPr>
              <w:t>第一学历和最后学历</w:t>
            </w:r>
            <w:r>
              <w:rPr>
                <w:rFonts w:hint="default" w:eastAsia="仿宋_GB2312"/>
                <w:spacing w:val="-10"/>
                <w:sz w:val="24"/>
                <w:highlight w:val="none"/>
              </w:rPr>
              <w:t>毕业时间、学校、专业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2013年6月 云南大学 工商管理</w:t>
            </w:r>
          </w:p>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lang w:val="en-US" w:eastAsia="zh-CN"/>
              </w:rPr>
              <w:t xml:space="preserve">2016年6月 云南大学 工商管理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主要从事工作与</w:t>
            </w:r>
          </w:p>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旅游管理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在国内外重要学术刊物上发表论文共 </w:t>
            </w:r>
            <w:r>
              <w:rPr>
                <w:rFonts w:hint="eastAsia" w:eastAsia="仿宋_GB2312"/>
                <w:sz w:val="24"/>
                <w:lang w:val="en-US" w:eastAsia="zh-CN"/>
              </w:rPr>
              <w:t xml:space="preserve">  </w:t>
            </w:r>
            <w:r>
              <w:rPr>
                <w:rFonts w:hint="default" w:eastAsia="仿宋_GB2312"/>
                <w:sz w:val="24"/>
              </w:rPr>
              <w:t>篇； 出版专著（译著等）</w:t>
            </w:r>
            <w:r>
              <w:rPr>
                <w:rFonts w:hint="eastAsia" w:eastAsia="仿宋_GB2312"/>
                <w:sz w:val="24"/>
                <w:lang w:val="en-US" w:eastAsia="zh-CN"/>
              </w:rPr>
              <w:t xml:space="preserve">  </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 xml:space="preserve"> </w:t>
            </w:r>
            <w:r>
              <w:rPr>
                <w:rFonts w:hint="default" w:eastAsia="仿宋_GB2312"/>
                <w:sz w:val="24"/>
              </w:rPr>
              <w:t>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6.教师基本情况表</w:t>
      </w:r>
    </w:p>
    <w:p>
      <w:pPr>
        <w:spacing w:line="360" w:lineRule="auto"/>
        <w:ind w:firstLine="360" w:firstLineChars="200"/>
        <w:jc w:val="center"/>
        <w:rPr>
          <w:rFonts w:eastAsia="仿宋_GB2312"/>
          <w:sz w:val="18"/>
          <w:szCs w:val="18"/>
        </w:rPr>
      </w:pP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187"/>
        <w:gridCol w:w="1486"/>
        <w:gridCol w:w="1399"/>
        <w:gridCol w:w="1339"/>
        <w:gridCol w:w="1103"/>
        <w:gridCol w:w="10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11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姓名</w:t>
            </w:r>
          </w:p>
        </w:tc>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性别</w:t>
            </w:r>
          </w:p>
        </w:tc>
        <w:tc>
          <w:tcPr>
            <w:tcW w:w="5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年龄</w:t>
            </w:r>
          </w:p>
        </w:tc>
        <w:tc>
          <w:tcPr>
            <w:tcW w:w="118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专业技术职务</w:t>
            </w:r>
          </w:p>
        </w:tc>
        <w:tc>
          <w:tcPr>
            <w:tcW w:w="148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highlight w:val="none"/>
              </w:rPr>
              <w:t>第一学历毕业学校、专业、学位</w:t>
            </w:r>
          </w:p>
        </w:tc>
        <w:tc>
          <w:tcPr>
            <w:tcW w:w="139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最后学历毕业学校、专业、学位</w:t>
            </w:r>
          </w:p>
        </w:tc>
        <w:tc>
          <w:tcPr>
            <w:tcW w:w="1339"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现从事专业</w:t>
            </w:r>
          </w:p>
        </w:tc>
        <w:tc>
          <w:tcPr>
            <w:tcW w:w="1103"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拟任课程</w:t>
            </w:r>
          </w:p>
        </w:tc>
        <w:tc>
          <w:tcPr>
            <w:tcW w:w="1031" w:type="dxa"/>
            <w:vAlign w:val="center"/>
          </w:tcPr>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专职</w:t>
            </w:r>
          </w:p>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4" w:hRule="exac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11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val="0"/>
                <w:bCs/>
                <w:sz w:val="24"/>
                <w:lang w:val="en-US" w:eastAsia="zh-CN"/>
              </w:rPr>
            </w:pPr>
            <w:r>
              <w:rPr>
                <w:rFonts w:hint="eastAsia" w:ascii="Times New Roman" w:hAnsi="Times New Roman" w:eastAsia="仿宋_GB2312"/>
                <w:b w:val="0"/>
                <w:bCs/>
                <w:sz w:val="24"/>
                <w:lang w:val="en-US" w:eastAsia="zh-CN"/>
              </w:rPr>
              <w:t>宁黎涛</w:t>
            </w:r>
          </w:p>
        </w:tc>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val="0"/>
                <w:bCs/>
                <w:sz w:val="24"/>
                <w:lang w:val="en-US" w:eastAsia="zh-CN"/>
              </w:rPr>
            </w:pPr>
            <w:r>
              <w:rPr>
                <w:rFonts w:hint="eastAsia" w:ascii="Times New Roman" w:hAnsi="Times New Roman" w:eastAsia="仿宋_GB2312"/>
                <w:b w:val="0"/>
                <w:bCs/>
                <w:sz w:val="24"/>
                <w:lang w:val="en-US" w:eastAsia="zh-CN"/>
              </w:rPr>
              <w:t>男</w:t>
            </w:r>
          </w:p>
        </w:tc>
        <w:tc>
          <w:tcPr>
            <w:tcW w:w="5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val="0"/>
                <w:bCs/>
                <w:sz w:val="24"/>
                <w:lang w:val="en-US" w:eastAsia="zh-CN"/>
              </w:rPr>
            </w:pPr>
            <w:r>
              <w:rPr>
                <w:rFonts w:hint="eastAsia" w:eastAsia="仿宋_GB2312"/>
                <w:b w:val="0"/>
                <w:bCs/>
                <w:sz w:val="24"/>
                <w:lang w:val="en-US" w:eastAsia="zh-CN"/>
              </w:rPr>
              <w:t>42</w:t>
            </w:r>
          </w:p>
        </w:tc>
        <w:tc>
          <w:tcPr>
            <w:tcW w:w="1187"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18"/>
                <w:szCs w:val="18"/>
                <w:lang w:val="en-US" w:eastAsia="en-US" w:bidi="ar-SA"/>
              </w:rPr>
            </w:pPr>
            <w:r>
              <w:rPr>
                <w:rFonts w:hint="eastAsia" w:eastAsia="仿宋_GB2312"/>
                <w:color w:val="auto"/>
                <w:sz w:val="24"/>
                <w:highlight w:val="none"/>
                <w:lang w:val="en-US" w:eastAsia="zh-CN"/>
              </w:rPr>
              <w:t>云南山海游集团有限公司董事长</w:t>
            </w:r>
          </w:p>
        </w:tc>
        <w:tc>
          <w:tcPr>
            <w:tcW w:w="1486"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eastAsia="zh-CN"/>
              </w:rPr>
            </w:pPr>
            <w:r>
              <w:rPr>
                <w:rFonts w:hint="default" w:ascii="Times New Roman" w:hAnsi="Times New Roman" w:eastAsia="仿宋_GB2312"/>
                <w:sz w:val="24"/>
              </w:rPr>
              <w:t>英国威尔士纽波特大学</w:t>
            </w:r>
            <w:r>
              <w:rPr>
                <w:rFonts w:hint="eastAsia" w:eastAsia="仿宋_GB2312"/>
                <w:sz w:val="24"/>
                <w:lang w:eastAsia="zh-CN"/>
              </w:rPr>
              <w:t>；</w:t>
            </w:r>
            <w:r>
              <w:rPr>
                <w:rFonts w:hint="default" w:ascii="Times New Roman" w:hAnsi="Times New Roman" w:eastAsia="仿宋_GB2312"/>
                <w:sz w:val="24"/>
              </w:rPr>
              <w:t xml:space="preserve"> 工商管理专业</w:t>
            </w:r>
            <w:r>
              <w:rPr>
                <w:rFonts w:hint="eastAsia" w:eastAsia="仿宋_GB2312"/>
                <w:sz w:val="24"/>
                <w:lang w:eastAsia="zh-CN"/>
              </w:rPr>
              <w:t>；</w:t>
            </w:r>
          </w:p>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eastAsia="仿宋_GB2312"/>
                <w:sz w:val="24"/>
                <w:lang w:val="en-US" w:eastAsia="zh-CN"/>
              </w:rPr>
              <w:t>学士</w:t>
            </w:r>
          </w:p>
        </w:tc>
        <w:tc>
          <w:tcPr>
            <w:tcW w:w="139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宋体"/>
                <w:kern w:val="0"/>
                <w:sz w:val="18"/>
                <w:szCs w:val="18"/>
                <w:lang w:val="en-US" w:eastAsia="zh-CN" w:bidi="ar-SA"/>
              </w:rPr>
            </w:pPr>
            <w:r>
              <w:rPr>
                <w:rFonts w:hint="default" w:ascii="Times New Roman" w:hAnsi="Times New Roman" w:eastAsia="仿宋_GB2312"/>
                <w:sz w:val="24"/>
              </w:rPr>
              <w:t>英国威尔士纽波特大学</w:t>
            </w:r>
            <w:r>
              <w:rPr>
                <w:rFonts w:hint="eastAsia" w:eastAsia="仿宋_GB2312"/>
                <w:sz w:val="24"/>
                <w:lang w:eastAsia="zh-CN"/>
              </w:rPr>
              <w:t>；</w:t>
            </w:r>
            <w:r>
              <w:rPr>
                <w:rFonts w:hint="default" w:ascii="Times New Roman" w:hAnsi="Times New Roman" w:eastAsia="仿宋_GB2312"/>
                <w:sz w:val="24"/>
              </w:rPr>
              <w:t>工商管理专业</w:t>
            </w:r>
            <w:r>
              <w:rPr>
                <w:rFonts w:hint="eastAsia" w:eastAsia="仿宋_GB2312"/>
                <w:sz w:val="24"/>
                <w:lang w:eastAsia="zh-CN"/>
              </w:rPr>
              <w:t>；</w:t>
            </w:r>
            <w:r>
              <w:rPr>
                <w:rFonts w:hint="eastAsia" w:eastAsia="仿宋_GB2312"/>
                <w:sz w:val="24"/>
                <w:lang w:val="en-US" w:eastAsia="zh-CN"/>
              </w:rPr>
              <w:t>硕士</w:t>
            </w:r>
          </w:p>
        </w:tc>
        <w:tc>
          <w:tcPr>
            <w:tcW w:w="1339" w:type="dxa"/>
          </w:tcPr>
          <w:p>
            <w:pPr>
              <w:keepNext w:val="0"/>
              <w:keepLines w:val="0"/>
              <w:suppressLineNumbers w:val="0"/>
              <w:spacing w:before="0" w:beforeAutospacing="0" w:after="0" w:afterAutospacing="0"/>
              <w:ind w:left="0" w:right="0"/>
              <w:jc w:val="center"/>
              <w:rPr>
                <w:rFonts w:hint="eastAsia" w:eastAsia="仿宋_GB2312"/>
                <w:sz w:val="24"/>
                <w:lang w:val="en-US" w:eastAsia="zh-CN"/>
              </w:rPr>
            </w:pPr>
          </w:p>
          <w:p>
            <w:pPr>
              <w:keepNext w:val="0"/>
              <w:keepLines w:val="0"/>
              <w:suppressLineNumbers w:val="0"/>
              <w:spacing w:before="0" w:beforeAutospacing="0" w:after="0" w:afterAutospacing="0"/>
              <w:ind w:left="0" w:right="0"/>
              <w:jc w:val="center"/>
              <w:rPr>
                <w:rFonts w:hint="eastAsia" w:eastAsia="仿宋_GB2312"/>
                <w:sz w:val="24"/>
                <w:lang w:val="en-US" w:eastAsia="zh-CN"/>
              </w:rPr>
            </w:pPr>
          </w:p>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eastAsia="仿宋_GB2312"/>
                <w:sz w:val="24"/>
                <w:lang w:val="en-US" w:eastAsia="zh-CN"/>
              </w:rPr>
              <w:t>旅游管理</w:t>
            </w:r>
          </w:p>
        </w:tc>
        <w:tc>
          <w:tcPr>
            <w:tcW w:w="1103"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default" w:ascii="仿宋_GB2312" w:hAnsi="Times New Roman" w:eastAsia="仿宋_GB2312" w:cs="仿宋_GB2312"/>
                <w:kern w:val="2"/>
                <w:sz w:val="24"/>
                <w:szCs w:val="24"/>
                <w:lang w:val="en-US" w:eastAsia="zh-CN" w:bidi="ar"/>
              </w:rPr>
              <w:t>旅游学概论</w:t>
            </w:r>
          </w:p>
        </w:tc>
        <w:tc>
          <w:tcPr>
            <w:tcW w:w="1031"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4" w:hRule="exac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Times New Roman" w:hAnsi="Times New Roman" w:eastAsia="仿宋_GB2312" w:cs="仿宋_GB2312"/>
                <w:b w:val="0"/>
                <w:bCs/>
                <w:kern w:val="2"/>
                <w:sz w:val="24"/>
                <w:szCs w:val="24"/>
                <w:lang w:val="en-US" w:eastAsia="zh-CN" w:bidi="ar"/>
              </w:rPr>
              <w:t>张怡</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zh-CN" w:bidi="ar-SA"/>
              </w:rPr>
            </w:pPr>
            <w:r>
              <w:rPr>
                <w:rFonts w:hint="default" w:ascii="Times New Roman" w:hAnsi="Times New Roman" w:eastAsia="仿宋_GB2312" w:cs="仿宋_GB2312"/>
                <w:b w:val="0"/>
                <w:bCs/>
                <w:kern w:val="2"/>
                <w:sz w:val="24"/>
                <w:szCs w:val="24"/>
                <w:lang w:val="en-US" w:eastAsia="zh-CN" w:bidi="ar"/>
              </w:rPr>
              <w:t>女</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b w:val="0"/>
                <w:bCs/>
                <w:kern w:val="2"/>
                <w:sz w:val="24"/>
                <w:szCs w:val="24"/>
                <w:lang w:val="en-US" w:eastAsia="zh-CN" w:bidi="ar-SA"/>
              </w:rPr>
            </w:pPr>
            <w:r>
              <w:rPr>
                <w:rFonts w:hint="eastAsia" w:eastAsia="仿宋_GB2312" w:cs="Times New Roman"/>
                <w:b w:val="0"/>
                <w:bCs/>
                <w:kern w:val="2"/>
                <w:sz w:val="24"/>
                <w:szCs w:val="24"/>
                <w:lang w:val="en-US" w:eastAsia="zh-CN" w:bidi="ar-SA"/>
              </w:rPr>
              <w:t>50</w:t>
            </w:r>
          </w:p>
        </w:tc>
        <w:tc>
          <w:tcPr>
            <w:tcW w:w="1187"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18"/>
                <w:szCs w:val="18"/>
                <w:lang w:val="en-US" w:eastAsia="en-US" w:bidi="ar-SA"/>
              </w:rPr>
            </w:pPr>
            <w:r>
              <w:rPr>
                <w:rFonts w:hint="eastAsia" w:eastAsia="仿宋_GB2312"/>
                <w:sz w:val="24"/>
                <w:lang w:val="en-US" w:eastAsia="zh-CN"/>
              </w:rPr>
              <w:t>山海游集团党委委员、总经理兼任民族文化公司总经理</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云南大学</w:t>
            </w:r>
            <w:r>
              <w:rPr>
                <w:rFonts w:hint="eastAsia" w:eastAsia="仿宋_GB2312" w:cs="Times New Roman"/>
                <w:kern w:val="2"/>
                <w:sz w:val="24"/>
                <w:szCs w:val="24"/>
                <w:lang w:val="en-US" w:eastAsia="zh-CN" w:bidi="ar-SA"/>
              </w:rPr>
              <w:t>；</w:t>
            </w:r>
            <w:r>
              <w:rPr>
                <w:rFonts w:hint="default" w:ascii="Times New Roman" w:hAnsi="Times New Roman" w:eastAsia="仿宋_GB2312" w:cs="Times New Roman"/>
                <w:kern w:val="2"/>
                <w:sz w:val="24"/>
                <w:szCs w:val="24"/>
                <w:lang w:val="en-US" w:eastAsia="zh-CN" w:bidi="ar-SA"/>
              </w:rPr>
              <w:t>工商管理</w:t>
            </w:r>
            <w:r>
              <w:rPr>
                <w:rFonts w:hint="eastAsia" w:eastAsia="仿宋_GB2312" w:cs="Times New Roman"/>
                <w:kern w:val="2"/>
                <w:sz w:val="24"/>
                <w:szCs w:val="24"/>
                <w:lang w:val="en-US" w:eastAsia="zh-CN" w:bidi="ar-SA"/>
              </w:rPr>
              <w:t>；</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学士</w:t>
            </w:r>
          </w:p>
        </w:tc>
        <w:tc>
          <w:tcPr>
            <w:tcW w:w="1399"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eastAsia="仿宋_GB2312"/>
                <w:sz w:val="24"/>
                <w:lang w:val="en-US" w:eastAsia="zh-CN"/>
              </w:rPr>
            </w:pPr>
            <w:r>
              <w:rPr>
                <w:rFonts w:hint="eastAsia" w:eastAsia="仿宋_GB2312"/>
                <w:sz w:val="24"/>
                <w:lang w:val="en-US" w:eastAsia="zh-CN"/>
              </w:rPr>
              <w:t>云南大学； 工商管理；</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18"/>
                <w:szCs w:val="18"/>
                <w:lang w:val="en-US" w:eastAsia="en-US" w:bidi="ar-SA"/>
              </w:rPr>
            </w:pPr>
            <w:r>
              <w:rPr>
                <w:rFonts w:hint="eastAsia" w:eastAsia="仿宋_GB2312"/>
                <w:sz w:val="24"/>
                <w:lang w:val="en-US" w:eastAsia="zh-CN"/>
              </w:rPr>
              <w:t>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旅游管理</w:t>
            </w:r>
          </w:p>
        </w:tc>
        <w:tc>
          <w:tcPr>
            <w:tcW w:w="1103"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default" w:ascii="仿宋_GB2312" w:hAnsi="Times New Roman" w:eastAsia="仿宋_GB2312" w:cs="仿宋_GB2312"/>
                <w:kern w:val="2"/>
                <w:sz w:val="24"/>
                <w:szCs w:val="24"/>
                <w:lang w:val="en-US" w:eastAsia="zh-CN" w:bidi="ar"/>
              </w:rPr>
              <w:t>管理学原理</w:t>
            </w:r>
          </w:p>
        </w:tc>
        <w:tc>
          <w:tcPr>
            <w:tcW w:w="1031"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仿宋"/>
                <w:kern w:val="0"/>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4" w:hRule="exac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Times New Roman" w:hAnsi="Times New Roman" w:eastAsia="仿宋_GB2312" w:cs="仿宋_GB2312"/>
                <w:b w:val="0"/>
                <w:bCs/>
                <w:kern w:val="2"/>
                <w:sz w:val="24"/>
                <w:szCs w:val="24"/>
                <w:lang w:val="en-US" w:eastAsia="zh-CN" w:bidi="ar"/>
              </w:rPr>
              <w:t>英觉扎西</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Times New Roman" w:hAnsi="Times New Roman" w:eastAsia="仿宋_GB2312" w:cs="仿宋_GB2312"/>
                <w:b w:val="0"/>
                <w:bCs/>
                <w:kern w:val="2"/>
                <w:sz w:val="24"/>
                <w:szCs w:val="24"/>
                <w:lang w:val="en-US" w:eastAsia="zh-CN" w:bidi="ar"/>
              </w:rPr>
              <w:t>男</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b w:val="0"/>
                <w:bCs/>
                <w:kern w:val="2"/>
                <w:sz w:val="24"/>
                <w:szCs w:val="24"/>
                <w:lang w:val="en-US" w:eastAsia="zh-CN" w:bidi="ar-SA"/>
              </w:rPr>
            </w:pPr>
            <w:r>
              <w:rPr>
                <w:rFonts w:hint="eastAsia" w:eastAsia="仿宋_GB2312" w:cs="Times New Roman"/>
                <w:b w:val="0"/>
                <w:bCs/>
                <w:kern w:val="2"/>
                <w:sz w:val="24"/>
                <w:szCs w:val="24"/>
                <w:lang w:val="en-US" w:eastAsia="zh-CN" w:bidi="ar-SA"/>
              </w:rPr>
              <w:t>36</w:t>
            </w:r>
          </w:p>
        </w:tc>
        <w:tc>
          <w:tcPr>
            <w:tcW w:w="1187"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18"/>
                <w:szCs w:val="18"/>
                <w:lang w:val="en-US" w:eastAsia="en-US" w:bidi="ar-SA"/>
              </w:rPr>
            </w:pPr>
            <w:r>
              <w:rPr>
                <w:rFonts w:hint="eastAsia" w:eastAsia="仿宋_GB2312"/>
                <w:sz w:val="24"/>
                <w:lang w:val="en-US" w:eastAsia="zh-CN"/>
              </w:rPr>
              <w:t>山海游集团副总经理兼任民族文化公司副总经理</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云南大学</w:t>
            </w:r>
            <w:r>
              <w:rPr>
                <w:rFonts w:hint="eastAsia" w:eastAsia="仿宋_GB2312" w:cs="Times New Roman"/>
                <w:kern w:val="2"/>
                <w:sz w:val="24"/>
                <w:szCs w:val="24"/>
                <w:lang w:val="en-US" w:eastAsia="zh-CN" w:bidi="ar-SA"/>
              </w:rPr>
              <w:t>；</w:t>
            </w:r>
            <w:r>
              <w:rPr>
                <w:rFonts w:hint="default" w:ascii="Times New Roman" w:hAnsi="Times New Roman" w:eastAsia="仿宋_GB2312" w:cs="Times New Roman"/>
                <w:kern w:val="2"/>
                <w:sz w:val="24"/>
                <w:szCs w:val="24"/>
                <w:lang w:val="en-US" w:eastAsia="zh-CN" w:bidi="ar-SA"/>
              </w:rPr>
              <w:t>工商管理</w:t>
            </w:r>
            <w:r>
              <w:rPr>
                <w:rFonts w:hint="eastAsia" w:eastAsia="仿宋_GB2312" w:cs="Times New Roman"/>
                <w:kern w:val="2"/>
                <w:sz w:val="24"/>
                <w:szCs w:val="24"/>
                <w:lang w:val="en-US" w:eastAsia="zh-CN" w:bidi="ar-SA"/>
              </w:rPr>
              <w:t>；</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学士</w:t>
            </w:r>
          </w:p>
        </w:tc>
        <w:tc>
          <w:tcPr>
            <w:tcW w:w="1399"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eastAsia="仿宋_GB2312"/>
                <w:sz w:val="24"/>
                <w:lang w:val="en-US" w:eastAsia="zh-CN"/>
              </w:rPr>
            </w:pPr>
            <w:r>
              <w:rPr>
                <w:rFonts w:hint="eastAsia" w:eastAsia="仿宋_GB2312"/>
                <w:sz w:val="24"/>
                <w:lang w:val="en-US" w:eastAsia="zh-CN"/>
              </w:rPr>
              <w:t>云南大学； 工商管理；</w:t>
            </w:r>
          </w:p>
          <w:p>
            <w:pPr>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kern w:val="0"/>
                <w:sz w:val="18"/>
                <w:szCs w:val="18"/>
                <w:lang w:val="en-US" w:eastAsia="zh-CN" w:bidi="ar-SA"/>
              </w:rPr>
            </w:pPr>
            <w:r>
              <w:rPr>
                <w:rFonts w:hint="eastAsia" w:eastAsia="仿宋_GB2312"/>
                <w:sz w:val="24"/>
                <w:lang w:val="en-US" w:eastAsia="zh-CN"/>
              </w:rPr>
              <w:t xml:space="preserve">硕士 </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旅游管理</w:t>
            </w:r>
          </w:p>
        </w:tc>
        <w:tc>
          <w:tcPr>
            <w:tcW w:w="1103"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default" w:ascii="仿宋_GB2312" w:hAnsi="Times New Roman" w:eastAsia="仿宋_GB2312" w:cs="仿宋_GB2312"/>
                <w:kern w:val="2"/>
                <w:sz w:val="24"/>
                <w:szCs w:val="24"/>
                <w:lang w:val="en-US" w:eastAsia="zh-CN" w:bidi="ar"/>
              </w:rPr>
              <w:t>旅游目的地管理</w:t>
            </w:r>
          </w:p>
        </w:tc>
        <w:tc>
          <w:tcPr>
            <w:tcW w:w="1031"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仿宋"/>
                <w:kern w:val="0"/>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default" w:ascii="Times New Roman" w:hAnsi="Times New Roman" w:eastAsia="仿宋_GB2312" w:cs="仿宋_GB2312"/>
                <w:b w:val="0"/>
                <w:bCs/>
                <w:kern w:val="2"/>
                <w:sz w:val="24"/>
                <w:szCs w:val="24"/>
                <w:lang w:val="en-US" w:eastAsia="zh-CN" w:bidi="ar"/>
              </w:rPr>
              <w:t>4</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冯万荣</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女</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47</w:t>
            </w: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副教授</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陕西师范大学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 xml:space="preserve">旅游管理 </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学士</w:t>
            </w: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云南师范大学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人文地理学</w:t>
            </w:r>
            <w:r>
              <w:rPr>
                <w:rFonts w:hint="eastAsia" w:eastAsia="仿宋_GB2312" w:cs="仿宋_GB2312"/>
                <w:b w:val="0"/>
                <w:bCs/>
                <w:kern w:val="2"/>
                <w:sz w:val="24"/>
                <w:szCs w:val="24"/>
                <w:lang w:val="en-US" w:eastAsia="zh-CN" w:bidi="ar"/>
              </w:rPr>
              <w:t>；</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酒店管理</w:t>
            </w: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旅游目的地管理</w:t>
            </w: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5</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张文馨</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女</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30</w:t>
            </w: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讲师</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广东财经大学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酒店管理</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学士</w:t>
            </w: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 xml:space="preserve">法国雷恩高等商学院 </w:t>
            </w:r>
            <w:r>
              <w:rPr>
                <w:rFonts w:hint="eastAsia" w:eastAsia="仿宋_GB2312" w:cs="仿宋_GB2312"/>
                <w:b w:val="0"/>
                <w:bCs/>
                <w:kern w:val="2"/>
                <w:sz w:val="24"/>
                <w:szCs w:val="24"/>
                <w:lang w:val="en-US" w:eastAsia="zh-CN" w:bidi="ar"/>
              </w:rPr>
              <w:t>；</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运动休闲</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管理硕士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酒店管理</w:t>
            </w: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客源国概论</w:t>
            </w: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6</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段文婷</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女</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29</w:t>
            </w: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讲师</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湘潭大学</w:t>
            </w:r>
            <w:r>
              <w:rPr>
                <w:rFonts w:hint="eastAsia" w:eastAsia="仿宋_GB2312" w:cs="仿宋_GB2312"/>
                <w:b w:val="0"/>
                <w:bCs/>
                <w:kern w:val="2"/>
                <w:sz w:val="24"/>
                <w:szCs w:val="24"/>
                <w:lang w:val="en-US" w:eastAsia="zh-CN" w:bidi="ar"/>
              </w:rPr>
              <w:t>；</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编辑出版</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 xml:space="preserve"> </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学士</w:t>
            </w: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新西兰奥克兰大学</w:t>
            </w:r>
            <w:r>
              <w:rPr>
                <w:rFonts w:hint="eastAsia" w:eastAsia="仿宋_GB2312" w:cs="仿宋_GB2312"/>
                <w:b w:val="0"/>
                <w:bCs/>
                <w:kern w:val="2"/>
                <w:sz w:val="24"/>
                <w:szCs w:val="24"/>
                <w:lang w:val="en-US" w:eastAsia="zh-CN" w:bidi="ar"/>
              </w:rPr>
              <w:t>；</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 xml:space="preserve">国际酒店管理 </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酒店管理</w:t>
            </w: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前厅与客房管理</w:t>
            </w: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7</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邬榕</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女</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44</w:t>
            </w: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副教授</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昆明理工大学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管理信息系统</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学士</w:t>
            </w: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昆明理工大学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工商管理</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市场营销</w:t>
            </w: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旅游调查与研究</w:t>
            </w: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8</w:t>
            </w: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路朝祥</w:t>
            </w: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男</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50</w:t>
            </w: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教授</w:t>
            </w: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昆明理工大学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管理信息系统</w:t>
            </w:r>
            <w:r>
              <w:rPr>
                <w:rFonts w:hint="eastAsia" w:eastAsia="仿宋_GB2312" w:cs="仿宋_GB2312"/>
                <w:b w:val="0"/>
                <w:bCs/>
                <w:kern w:val="2"/>
                <w:sz w:val="24"/>
                <w:szCs w:val="24"/>
                <w:lang w:val="en-US" w:eastAsia="zh-CN" w:bidi="ar"/>
              </w:rPr>
              <w:t>；学士</w:t>
            </w: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昆明理大学</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工商管理</w:t>
            </w:r>
            <w:r>
              <w:rPr>
                <w:rFonts w:hint="eastAsia" w:eastAsia="仿宋_GB2312" w:cs="仿宋_GB2312"/>
                <w:b w:val="0"/>
                <w:bCs/>
                <w:kern w:val="2"/>
                <w:sz w:val="24"/>
                <w:szCs w:val="24"/>
                <w:lang w:val="en-US" w:eastAsia="zh-CN" w:bidi="ar"/>
              </w:rPr>
              <w:t>；</w:t>
            </w:r>
            <w:r>
              <w:rPr>
                <w:rFonts w:hint="eastAsia" w:ascii="Times New Roman" w:hAnsi="Times New Roman" w:eastAsia="仿宋_GB2312" w:cs="仿宋_GB2312"/>
                <w:b w:val="0"/>
                <w:bCs/>
                <w:kern w:val="2"/>
                <w:sz w:val="24"/>
                <w:szCs w:val="24"/>
                <w:lang w:val="en-US" w:eastAsia="zh-CN" w:bidi="ar"/>
              </w:rPr>
              <w:t>硕士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工商管理</w:t>
            </w: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旅游规划与开发</w:t>
            </w: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zh-CN" w:bidi="ar"/>
              </w:rPr>
            </w:pPr>
            <w:r>
              <w:rPr>
                <w:rFonts w:hint="eastAsia" w:eastAsia="仿宋_GB2312" w:cs="仿宋_GB2312"/>
                <w:b w:val="0"/>
                <w:bCs/>
                <w:kern w:val="2"/>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339" w:type="dxa"/>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339" w:type="dxa"/>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5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2"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5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87"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48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399"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339" w:type="dxa"/>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103"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c>
          <w:tcPr>
            <w:tcW w:w="1031"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p>
        </w:tc>
      </w:tr>
    </w:tbl>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7.主要课程开设情况一览表</w:t>
      </w:r>
    </w:p>
    <w:p>
      <w:pPr>
        <w:spacing w:line="360" w:lineRule="auto"/>
        <w:ind w:firstLine="482" w:firstLineChars="200"/>
        <w:jc w:val="center"/>
        <w:rPr>
          <w:rFonts w:eastAsia="仿宋_GB2312"/>
          <w:b/>
          <w:sz w:val="24"/>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8"/>
        <w:gridCol w:w="334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3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课程名称</w:t>
            </w:r>
          </w:p>
        </w:tc>
        <w:tc>
          <w:tcPr>
            <w:tcW w:w="121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总学时</w:t>
            </w:r>
          </w:p>
        </w:tc>
        <w:tc>
          <w:tcPr>
            <w:tcW w:w="103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周学时</w:t>
            </w:r>
          </w:p>
        </w:tc>
        <w:tc>
          <w:tcPr>
            <w:tcW w:w="2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授课教师</w:t>
            </w:r>
          </w:p>
        </w:tc>
        <w:tc>
          <w:tcPr>
            <w:tcW w:w="122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旅游学概论</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 xml:space="preserve">2 </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宁黎涛</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管理学原理</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51</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张怡</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旅游目的地管理</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英觉扎西</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4</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旅游接待业</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冯万荣</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5</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旅游消费者行为</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张文馨</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6</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旅游法规</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段文婷</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7</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旅游市场营销</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邬榕</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8</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人力资源管理</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51</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SA"/>
              </w:rPr>
            </w:pPr>
            <w:r>
              <w:rPr>
                <w:rFonts w:hint="default" w:ascii="仿宋_GB2312" w:hAnsi="Times New Roman" w:eastAsia="仿宋_GB2312" w:cs="仿宋_GB2312"/>
                <w:b w:val="0"/>
                <w:bCs/>
                <w:kern w:val="2"/>
                <w:sz w:val="24"/>
                <w:szCs w:val="24"/>
                <w:lang w:val="en-US" w:eastAsia="zh-CN" w:bidi="ar"/>
              </w:rPr>
              <w:t>路朝祥</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9</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教育心理学</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51</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冯万荣</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10</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宋体"/>
                <w:kern w:val="2"/>
                <w:sz w:val="24"/>
                <w:szCs w:val="24"/>
                <w:lang w:val="en-US" w:eastAsia="zh-CN" w:bidi="ar"/>
              </w:rPr>
              <w:t>现代教育学</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51</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3</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仿宋_GB2312"/>
                <w:b w:val="0"/>
                <w:bCs/>
                <w:kern w:val="2"/>
                <w:sz w:val="24"/>
                <w:szCs w:val="24"/>
                <w:lang w:val="en-US" w:eastAsia="en-US" w:bidi="ar"/>
              </w:rPr>
            </w:pPr>
            <w:r>
              <w:rPr>
                <w:rFonts w:hint="eastAsia" w:ascii="Times New Roman" w:hAnsi="Times New Roman" w:eastAsia="仿宋_GB2312" w:cs="仿宋_GB2312"/>
                <w:b w:val="0"/>
                <w:bCs/>
                <w:kern w:val="2"/>
                <w:sz w:val="24"/>
                <w:szCs w:val="24"/>
                <w:lang w:val="en-US" w:eastAsia="zh-CN" w:bidi="ar"/>
              </w:rPr>
              <w:t>张文馨</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en-US" w:bidi="ar-SA"/>
              </w:rPr>
            </w:pPr>
            <w:r>
              <w:rPr>
                <w:rFonts w:hint="eastAsia" w:ascii="Times New Roman" w:hAnsi="Times New Roman" w:eastAsia="仿宋_GB2312" w:cs="Times New Roman"/>
                <w:kern w:val="2"/>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11</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kern w:val="2"/>
                <w:sz w:val="24"/>
                <w:szCs w:val="24"/>
                <w:lang w:val="en-US" w:eastAsia="zh-CN" w:bidi="ar"/>
              </w:rPr>
              <w:t>教育教学法</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51</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3</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段文婷</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12</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kern w:val="2"/>
                <w:sz w:val="24"/>
                <w:szCs w:val="24"/>
                <w:lang w:val="en-US" w:eastAsia="zh-CN" w:bidi="ar"/>
              </w:rPr>
              <w:t>研学旅游</w:t>
            </w: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34</w:t>
            </w: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2</w:t>
            </w: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r>
              <w:rPr>
                <w:rFonts w:hint="eastAsia" w:ascii="Times New Roman" w:hAnsi="Times New Roman" w:eastAsia="仿宋_GB2312" w:cs="仿宋_GB2312"/>
                <w:b w:val="0"/>
                <w:bCs/>
                <w:kern w:val="2"/>
                <w:sz w:val="24"/>
                <w:szCs w:val="24"/>
                <w:lang w:val="en-US" w:eastAsia="zh-CN" w:bidi="ar"/>
              </w:rPr>
              <w:t>邬榕</w:t>
            </w: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13</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2210"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仿宋_GB2312"/>
                <w:b w:val="0"/>
                <w:bCs/>
                <w:kern w:val="2"/>
                <w:sz w:val="24"/>
                <w:szCs w:val="24"/>
                <w:lang w:val="en-US" w:eastAsia="zh-CN" w:bidi="ar"/>
              </w:rPr>
            </w:pP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14</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2210"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15</w:t>
            </w:r>
          </w:p>
        </w:tc>
        <w:tc>
          <w:tcPr>
            <w:tcW w:w="3348"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214"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03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2210"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225" w:type="dxa"/>
            <w:vAlign w:val="center"/>
          </w:tcPr>
          <w:p>
            <w:pPr>
              <w:keepNext w:val="0"/>
              <w:keepLines w:val="0"/>
              <w:widowControl w:val="0"/>
              <w:suppressLineNumbers w:val="0"/>
              <w:autoSpaceDE w:val="0"/>
              <w:autoSpaceDN/>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r>
    </w:tbl>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705" w:firstLineChars="196"/>
        <w:jc w:val="center"/>
        <w:rPr>
          <w:rFonts w:hint="eastAsia" w:ascii="黑体" w:hAnsi="黑体" w:eastAsia="黑体"/>
          <w:bCs/>
          <w:kern w:val="0"/>
          <w:sz w:val="36"/>
          <w:szCs w:val="36"/>
        </w:rPr>
      </w:pPr>
      <w:r>
        <w:rPr>
          <w:rFonts w:hint="eastAsia" w:ascii="黑体" w:hAnsi="黑体" w:eastAsia="黑体"/>
          <w:bCs/>
          <w:kern w:val="0"/>
          <w:sz w:val="36"/>
          <w:szCs w:val="36"/>
        </w:rPr>
        <w:t>8.其他办学条件情况表</w:t>
      </w:r>
    </w:p>
    <w:p>
      <w:pPr>
        <w:rPr>
          <w:rFonts w:eastAsia="仿宋_GB2312"/>
          <w:kern w:val="0"/>
          <w:sz w:val="24"/>
        </w:rPr>
      </w:pP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770"/>
        <w:gridCol w:w="701"/>
        <w:gridCol w:w="1298"/>
        <w:gridCol w:w="1956"/>
        <w:gridCol w:w="517"/>
        <w:gridCol w:w="484"/>
        <w:gridCol w:w="1107"/>
        <w:gridCol w:w="543"/>
        <w:gridCol w:w="295"/>
        <w:gridCol w:w="360"/>
        <w:gridCol w:w="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385" w:type="dxa"/>
            <w:gridSpan w:val="2"/>
            <w:vAlign w:val="center"/>
          </w:tcPr>
          <w:p>
            <w:pPr>
              <w:keepNext w:val="0"/>
              <w:keepLines w:val="0"/>
              <w:suppressLineNumbers w:val="0"/>
              <w:spacing w:before="0" w:beforeAutospacing="0" w:after="0" w:afterAutospacing="0"/>
              <w:ind w:left="420" w:right="0" w:hanging="420" w:hangingChars="200"/>
              <w:jc w:val="center"/>
              <w:rPr>
                <w:rFonts w:hint="default" w:ascii="Times New Roman" w:hAnsi="Times New Roman" w:eastAsia="仿宋_GB2312"/>
              </w:rPr>
            </w:pPr>
            <w:r>
              <w:rPr>
                <w:rFonts w:hint="default" w:ascii="Times New Roman" w:hAnsi="Times New Roman" w:eastAsia="仿宋_GB2312"/>
              </w:rPr>
              <w:t>专业名称</w:t>
            </w:r>
          </w:p>
        </w:tc>
        <w:tc>
          <w:tcPr>
            <w:tcW w:w="4956" w:type="dxa"/>
            <w:gridSpan w:val="5"/>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旅游管理与服务</w:t>
            </w:r>
            <w:r>
              <w:rPr>
                <w:rFonts w:hint="eastAsia" w:eastAsia="仿宋_GB2312"/>
                <w:lang w:val="en-US" w:eastAsia="zh-CN"/>
              </w:rPr>
              <w:t>教育</w:t>
            </w:r>
          </w:p>
        </w:tc>
        <w:tc>
          <w:tcPr>
            <w:tcW w:w="1107" w:type="dxa"/>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rPr>
            </w:pPr>
            <w:r>
              <w:rPr>
                <w:rFonts w:hint="default" w:ascii="Times New Roman" w:hAnsi="Times New Roman" w:eastAsia="仿宋_GB2312"/>
              </w:rPr>
              <w:t>开办经费及来源</w:t>
            </w:r>
          </w:p>
        </w:tc>
        <w:tc>
          <w:tcPr>
            <w:tcW w:w="1531" w:type="dxa"/>
            <w:gridSpan w:val="4"/>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rPr>
            </w:pPr>
            <w:r>
              <w:rPr>
                <w:rFonts w:hint="default" w:ascii="Times New Roman" w:hAnsi="Times New Roman" w:eastAsia="仿宋_GB2312"/>
              </w:rPr>
              <w:t>民办教育经费、校企共建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6" w:type="dxa"/>
            <w:gridSpan w:val="3"/>
            <w:vAlign w:val="center"/>
          </w:tcPr>
          <w:p>
            <w:pPr>
              <w:keepNext w:val="0"/>
              <w:keepLines w:val="0"/>
              <w:suppressLineNumbers w:val="0"/>
              <w:spacing w:before="0" w:beforeAutospacing="0" w:after="0" w:afterAutospacing="0"/>
              <w:ind w:left="210" w:right="0" w:hanging="210" w:hangingChars="100"/>
              <w:rPr>
                <w:rFonts w:hint="default" w:ascii="Times New Roman" w:hAnsi="Times New Roman" w:eastAsia="仿宋_GB2312"/>
              </w:rPr>
            </w:pPr>
            <w:r>
              <w:rPr>
                <w:rFonts w:hint="default" w:ascii="Times New Roman" w:hAnsi="Times New Roman" w:eastAsia="仿宋_GB2312"/>
              </w:rPr>
              <w:t>申报专业副高及以上职称(在岗)人数</w:t>
            </w:r>
          </w:p>
        </w:tc>
        <w:tc>
          <w:tcPr>
            <w:tcW w:w="1298"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3</w:t>
            </w:r>
          </w:p>
        </w:tc>
        <w:tc>
          <w:tcPr>
            <w:tcW w:w="1956"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其中该专业</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专职在岗人数</w:t>
            </w:r>
          </w:p>
        </w:tc>
        <w:tc>
          <w:tcPr>
            <w:tcW w:w="1001" w:type="dxa"/>
            <w:gridSpan w:val="2"/>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eastAsia="仿宋_GB2312"/>
                <w:lang w:val="en-US" w:eastAsia="zh-CN"/>
              </w:rPr>
              <w:t>8</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tc>
        <w:tc>
          <w:tcPr>
            <w:tcW w:w="1107"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其中校内</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兼职人数</w:t>
            </w:r>
          </w:p>
        </w:tc>
        <w:tc>
          <w:tcPr>
            <w:tcW w:w="543"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tc>
        <w:tc>
          <w:tcPr>
            <w:tcW w:w="655"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其中校外兼职人数</w:t>
            </w:r>
          </w:p>
        </w:tc>
        <w:tc>
          <w:tcPr>
            <w:tcW w:w="333"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6" w:type="dxa"/>
            <w:gridSpan w:val="3"/>
            <w:tcBorders>
              <w:top w:val="single" w:color="auto" w:sz="4" w:space="0"/>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是否具备开办该</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专业所必需的图书资料</w:t>
            </w:r>
          </w:p>
        </w:tc>
        <w:tc>
          <w:tcPr>
            <w:tcW w:w="1298" w:type="dxa"/>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是</w:t>
            </w:r>
          </w:p>
        </w:tc>
        <w:tc>
          <w:tcPr>
            <w:tcW w:w="2473"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可用于该专业的</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教学实验设备</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（千元以上）</w:t>
            </w:r>
          </w:p>
        </w:tc>
        <w:tc>
          <w:tcPr>
            <w:tcW w:w="1591"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sz w:val="18"/>
                <w:lang w:val="en-US" w:eastAsia="zh-CN"/>
              </w:rPr>
            </w:pPr>
            <w:r>
              <w:rPr>
                <w:rFonts w:hint="eastAsia" w:ascii="Times New Roman" w:hAnsi="Times New Roman" w:eastAsia="仿宋_GB2312"/>
                <w:sz w:val="18"/>
                <w:lang w:val="en-US" w:eastAsia="zh-CN"/>
              </w:rPr>
              <w:t>15</w:t>
            </w:r>
          </w:p>
          <w:p>
            <w:pPr>
              <w:keepNext w:val="0"/>
              <w:keepLines w:val="0"/>
              <w:widowControl/>
              <w:suppressLineNumbers w:val="0"/>
              <w:spacing w:before="0" w:beforeAutospacing="0" w:after="0" w:afterAutospacing="0"/>
              <w:ind w:left="0" w:right="0" w:firstLine="180" w:firstLineChars="10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838"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总 价 值</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（万元）</w:t>
            </w:r>
          </w:p>
        </w:tc>
        <w:tc>
          <w:tcPr>
            <w:tcW w:w="693"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default" w:ascii="Times New Roman" w:hAnsi="Times New Roman" w:eastAsia="仿宋_GB2312"/>
                <w:lang w:val="en-US" w:eastAsia="zh-CN"/>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序</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号</w:t>
            </w:r>
          </w:p>
        </w:tc>
        <w:tc>
          <w:tcPr>
            <w:tcW w:w="5242" w:type="dxa"/>
            <w:gridSpan w:val="5"/>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主要教学设备名称（限10项内）</w:t>
            </w:r>
          </w:p>
        </w:tc>
        <w:tc>
          <w:tcPr>
            <w:tcW w:w="1591" w:type="dxa"/>
            <w:gridSpan w:val="2"/>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型    号</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规    格</w:t>
            </w:r>
          </w:p>
        </w:tc>
        <w:tc>
          <w:tcPr>
            <w:tcW w:w="543"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988" w:type="dxa"/>
            <w:gridSpan w:val="3"/>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1</w:t>
            </w:r>
          </w:p>
        </w:tc>
        <w:tc>
          <w:tcPr>
            <w:tcW w:w="5242" w:type="dxa"/>
            <w:gridSpan w:val="5"/>
            <w:vAlign w:val="bottom"/>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前厅办公设备</w:t>
            </w:r>
          </w:p>
        </w:tc>
        <w:tc>
          <w:tcPr>
            <w:tcW w:w="1591" w:type="dxa"/>
            <w:gridSpan w:val="2"/>
            <w:vAlign w:val="bottom"/>
          </w:tcPr>
          <w:p>
            <w:pPr>
              <w:pStyle w:val="17"/>
              <w:keepNext w:val="0"/>
              <w:keepLines w:val="0"/>
              <w:widowControl w:val="0"/>
              <w:suppressLineNumbers w:val="0"/>
              <w:spacing w:before="0" w:beforeAutospacing="0" w:after="0" w:afterAutospacing="0"/>
              <w:ind w:left="0" w:leftChars="0" w:right="0" w:rightChars="0" w:firstLine="46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标准配备</w:t>
            </w:r>
          </w:p>
        </w:tc>
        <w:tc>
          <w:tcPr>
            <w:tcW w:w="543" w:type="dxa"/>
            <w:vAlign w:val="bottom"/>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zh-CN" w:bidi="ar"/>
              </w:rPr>
            </w:pPr>
            <w:r>
              <w:rPr>
                <w:rFonts w:hint="eastAsia" w:ascii="Times New Roman" w:hAnsi="Times New Roman" w:eastAsia="仿宋_GB2312" w:cs="宋体"/>
                <w:b w:val="0"/>
                <w:bCs w:val="0"/>
                <w:i w:val="0"/>
                <w:iCs w:val="0"/>
                <w:color w:val="000000"/>
                <w:spacing w:val="0"/>
                <w:sz w:val="20"/>
                <w:szCs w:val="20"/>
              </w:rPr>
              <w:t>1</w:t>
            </w:r>
            <w:r>
              <w:rPr>
                <w:rFonts w:hint="eastAsia" w:ascii="Times New Roman" w:hAnsi="Times New Roman" w:eastAsia="仿宋_GB2312" w:cs="宋体"/>
                <w:b w:val="0"/>
                <w:bCs w:val="0"/>
                <w:i w:val="0"/>
                <w:iCs w:val="0"/>
                <w:color w:val="000000"/>
                <w:spacing w:val="0"/>
                <w:sz w:val="20"/>
                <w:szCs w:val="20"/>
                <w:lang w:val="en-US" w:eastAsia="zh-CN"/>
              </w:rPr>
              <w:t>0</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2</w:t>
            </w:r>
          </w:p>
        </w:tc>
        <w:tc>
          <w:tcPr>
            <w:tcW w:w="5242" w:type="dxa"/>
            <w:gridSpan w:val="5"/>
            <w:vAlign w:val="bottom"/>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餐厅设备</w:t>
            </w:r>
          </w:p>
        </w:tc>
        <w:tc>
          <w:tcPr>
            <w:tcW w:w="1591" w:type="dxa"/>
            <w:gridSpan w:val="2"/>
            <w:vAlign w:val="bottom"/>
          </w:tcPr>
          <w:p>
            <w:pPr>
              <w:pStyle w:val="17"/>
              <w:keepNext w:val="0"/>
              <w:keepLines w:val="0"/>
              <w:widowControl w:val="0"/>
              <w:suppressLineNumbers w:val="0"/>
              <w:spacing w:before="0" w:beforeAutospacing="0" w:after="0" w:afterAutospacing="0"/>
              <w:ind w:left="0" w:leftChars="0" w:right="0" w:rightChars="0" w:firstLine="460" w:firstLineChars="0"/>
              <w:jc w:val="center"/>
              <w:rPr>
                <w:rFonts w:hint="default"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标准配备</w:t>
            </w:r>
          </w:p>
        </w:tc>
        <w:tc>
          <w:tcPr>
            <w:tcW w:w="543" w:type="dxa"/>
            <w:vAlign w:val="bottom"/>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default" w:ascii="Times New Roman" w:hAnsi="Times New Roman" w:eastAsia="仿宋_GB2312" w:cs="宋体"/>
                <w:b w:val="0"/>
                <w:bCs w:val="0"/>
                <w:i w:val="0"/>
                <w:iCs w:val="0"/>
                <w:color w:val="000000"/>
                <w:spacing w:val="0"/>
                <w:kern w:val="0"/>
                <w:sz w:val="20"/>
                <w:szCs w:val="20"/>
                <w:lang w:val="en-US" w:eastAsia="zh-CN" w:bidi="ar"/>
              </w:rPr>
            </w:pPr>
            <w:r>
              <w:rPr>
                <w:rFonts w:hint="eastAsia" w:ascii="Times New Roman" w:hAnsi="Times New Roman" w:eastAsia="仿宋_GB2312" w:cs="宋体"/>
                <w:b w:val="0"/>
                <w:bCs w:val="0"/>
                <w:i w:val="0"/>
                <w:iCs w:val="0"/>
                <w:color w:val="000000"/>
                <w:spacing w:val="0"/>
                <w:kern w:val="0"/>
                <w:sz w:val="20"/>
                <w:szCs w:val="20"/>
                <w:lang w:val="en-US" w:eastAsia="zh-CN" w:bidi="ar"/>
              </w:rPr>
              <w:t>10</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3</w:t>
            </w:r>
          </w:p>
        </w:tc>
        <w:tc>
          <w:tcPr>
            <w:tcW w:w="5242" w:type="dxa"/>
            <w:gridSpan w:val="5"/>
            <w:vAlign w:val="top"/>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模拟导游实训室</w:t>
            </w:r>
          </w:p>
        </w:tc>
        <w:tc>
          <w:tcPr>
            <w:tcW w:w="1591" w:type="dxa"/>
            <w:gridSpan w:val="2"/>
            <w:vAlign w:val="top"/>
          </w:tcPr>
          <w:p>
            <w:pPr>
              <w:pStyle w:val="17"/>
              <w:keepNext w:val="0"/>
              <w:keepLines w:val="0"/>
              <w:widowControl w:val="0"/>
              <w:suppressLineNumbers w:val="0"/>
              <w:spacing w:before="0" w:beforeAutospacing="0" w:after="0" w:afterAutospacing="0"/>
              <w:ind w:left="0" w:leftChars="0" w:right="0" w:rightChars="0" w:firstLine="46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sz w:val="20"/>
                <w:szCs w:val="20"/>
              </w:rPr>
              <w:t>标准配备</w:t>
            </w:r>
          </w:p>
        </w:tc>
        <w:tc>
          <w:tcPr>
            <w:tcW w:w="543" w:type="dxa"/>
            <w:vAlign w:val="top"/>
          </w:tcPr>
          <w:p>
            <w:pPr>
              <w:pStyle w:val="17"/>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zh-CN" w:bidi="ar"/>
              </w:rPr>
            </w:pPr>
            <w:r>
              <w:rPr>
                <w:rFonts w:hint="eastAsia" w:ascii="Times New Roman" w:hAnsi="Times New Roman" w:eastAsia="仿宋_GB2312" w:cs="宋体"/>
                <w:b w:val="0"/>
                <w:bCs w:val="0"/>
                <w:i w:val="0"/>
                <w:iCs w:val="0"/>
                <w:color w:val="000000"/>
                <w:spacing w:val="0"/>
                <w:kern w:val="0"/>
                <w:sz w:val="20"/>
                <w:szCs w:val="20"/>
                <w:lang w:val="en-US" w:eastAsia="zh-CN" w:bidi="ar"/>
              </w:rPr>
              <w:t>1</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4</w:t>
            </w:r>
          </w:p>
        </w:tc>
        <w:tc>
          <w:tcPr>
            <w:tcW w:w="5242" w:type="dxa"/>
            <w:gridSpan w:val="5"/>
            <w:vAlign w:val="top"/>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SA"/>
              </w:rPr>
            </w:pPr>
            <w:r>
              <w:rPr>
                <w:rFonts w:hint="eastAsia" w:ascii="Times New Roman" w:hAnsi="Times New Roman" w:eastAsia="仿宋_GB2312" w:cs="宋体"/>
                <w:b w:val="0"/>
                <w:bCs w:val="0"/>
                <w:i w:val="0"/>
                <w:iCs w:val="0"/>
                <w:color w:val="000000"/>
                <w:spacing w:val="0"/>
                <w:kern w:val="0"/>
                <w:sz w:val="20"/>
                <w:szCs w:val="20"/>
                <w:lang w:val="en-US" w:eastAsia="zh-CN" w:bidi="ar"/>
              </w:rPr>
              <w:t>客房（用品类；布草类）</w:t>
            </w:r>
          </w:p>
        </w:tc>
        <w:tc>
          <w:tcPr>
            <w:tcW w:w="1591" w:type="dxa"/>
            <w:gridSpan w:val="2"/>
            <w:vAlign w:val="top"/>
          </w:tcPr>
          <w:p>
            <w:pPr>
              <w:pStyle w:val="4"/>
              <w:keepNext w:val="0"/>
              <w:keepLines w:val="0"/>
              <w:widowControl w:val="0"/>
              <w:suppressLineNumbers w:val="0"/>
              <w:spacing w:before="0" w:beforeAutospacing="0" w:after="0" w:afterAutospacing="0"/>
              <w:ind w:left="0" w:leftChars="0" w:right="0" w:rightChars="0" w:firstLine="46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SA"/>
              </w:rPr>
            </w:pPr>
            <w:r>
              <w:rPr>
                <w:rFonts w:hint="eastAsia" w:ascii="Times New Roman" w:hAnsi="Times New Roman" w:eastAsia="仿宋_GB2312" w:cs="宋体"/>
                <w:b w:val="0"/>
                <w:bCs w:val="0"/>
                <w:i w:val="0"/>
                <w:iCs w:val="0"/>
                <w:color w:val="000000"/>
                <w:spacing w:val="0"/>
                <w:kern w:val="0"/>
                <w:sz w:val="20"/>
                <w:szCs w:val="20"/>
                <w:lang w:val="en-US" w:eastAsia="zh-CN" w:bidi="ar"/>
              </w:rPr>
              <w:t>标准配备</w:t>
            </w:r>
          </w:p>
        </w:tc>
        <w:tc>
          <w:tcPr>
            <w:tcW w:w="543" w:type="dxa"/>
            <w:vAlign w:val="top"/>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default" w:ascii="Times New Roman" w:hAnsi="Times New Roman" w:eastAsia="仿宋_GB2312" w:cs="宋体"/>
                <w:b w:val="0"/>
                <w:bCs w:val="0"/>
                <w:i w:val="0"/>
                <w:iCs w:val="0"/>
                <w:color w:val="000000"/>
                <w:spacing w:val="0"/>
                <w:kern w:val="0"/>
                <w:sz w:val="20"/>
                <w:szCs w:val="20"/>
                <w:lang w:val="en-US" w:eastAsia="zh-CN" w:bidi="ar-SA"/>
              </w:rPr>
            </w:pPr>
            <w:r>
              <w:rPr>
                <w:rFonts w:hint="eastAsia" w:ascii="Times New Roman" w:hAnsi="Times New Roman" w:eastAsia="仿宋_GB2312" w:cs="宋体"/>
                <w:b w:val="0"/>
                <w:bCs w:val="0"/>
                <w:i w:val="0"/>
                <w:iCs w:val="0"/>
                <w:color w:val="000000"/>
                <w:spacing w:val="0"/>
                <w:kern w:val="0"/>
                <w:sz w:val="20"/>
                <w:szCs w:val="20"/>
                <w:lang w:val="en-US" w:eastAsia="zh-CN" w:bidi="ar-SA"/>
              </w:rPr>
              <w:t>10</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5</w:t>
            </w:r>
          </w:p>
        </w:tc>
        <w:tc>
          <w:tcPr>
            <w:tcW w:w="5242" w:type="dxa"/>
            <w:gridSpan w:val="5"/>
            <w:vAlign w:val="bottom"/>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形体房</w:t>
            </w:r>
          </w:p>
        </w:tc>
        <w:tc>
          <w:tcPr>
            <w:tcW w:w="1591" w:type="dxa"/>
            <w:gridSpan w:val="2"/>
            <w:vAlign w:val="bottom"/>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 xml:space="preserve">    标准配备</w:t>
            </w:r>
          </w:p>
        </w:tc>
        <w:tc>
          <w:tcPr>
            <w:tcW w:w="543" w:type="dxa"/>
            <w:vAlign w:val="bottom"/>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2</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6</w:t>
            </w: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旅游案例分析平台</w:t>
            </w: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 xml:space="preserve"> 可道云</w:t>
            </w:r>
          </w:p>
        </w:tc>
        <w:tc>
          <w:tcPr>
            <w:tcW w:w="543" w:type="dxa"/>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zh-CN" w:bidi="ar"/>
              </w:rPr>
            </w:pPr>
            <w:r>
              <w:rPr>
                <w:rFonts w:hint="eastAsia" w:ascii="Times New Roman" w:hAnsi="Times New Roman" w:eastAsia="仿宋_GB2312" w:cs="宋体"/>
                <w:b w:val="0"/>
                <w:bCs w:val="0"/>
                <w:i w:val="0"/>
                <w:iCs w:val="0"/>
                <w:color w:val="000000"/>
                <w:spacing w:val="0"/>
                <w:kern w:val="0"/>
                <w:sz w:val="20"/>
                <w:szCs w:val="20"/>
                <w:lang w:val="en-US" w:eastAsia="zh-CN" w:bidi="ar"/>
              </w:rPr>
              <w:t>1</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7</w:t>
            </w: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旅游过程中突发群体事件的沟通与疏导策略虚拟仿真实验建设</w:t>
            </w: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润尼尔  V1.0</w:t>
            </w:r>
          </w:p>
        </w:tc>
        <w:tc>
          <w:tcPr>
            <w:tcW w:w="543" w:type="dxa"/>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1</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1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kern w:val="2"/>
                <w:sz w:val="21"/>
                <w:szCs w:val="21"/>
                <w:lang w:val="en-US" w:eastAsia="zh-CN" w:bidi="ar"/>
              </w:rPr>
              <w:t>8</w:t>
            </w: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en-US" w:bidi="ar"/>
              </w:rPr>
              <w:t>互动教学智能平板系统</w:t>
            </w:r>
            <w:r>
              <w:rPr>
                <w:rFonts w:hint="eastAsia" w:ascii="Times New Roman" w:hAnsi="Times New Roman" w:eastAsia="仿宋_GB2312" w:cs="宋体"/>
                <w:b w:val="0"/>
                <w:bCs w:val="0"/>
                <w:i w:val="0"/>
                <w:iCs w:val="0"/>
                <w:color w:val="000000"/>
                <w:spacing w:val="0"/>
                <w:kern w:val="0"/>
                <w:sz w:val="20"/>
                <w:szCs w:val="20"/>
                <w:lang w:val="en-US" w:eastAsia="en-US" w:bidi="ar"/>
              </w:rPr>
              <w:tab/>
            </w:r>
            <w:r>
              <w:rPr>
                <w:rFonts w:hint="eastAsia" w:ascii="Times New Roman" w:hAnsi="Times New Roman" w:eastAsia="仿宋_GB2312" w:cs="宋体"/>
                <w:b w:val="0"/>
                <w:bCs w:val="0"/>
                <w:i w:val="0"/>
                <w:iCs w:val="0"/>
                <w:color w:val="000000"/>
                <w:spacing w:val="0"/>
                <w:kern w:val="0"/>
                <w:sz w:val="20"/>
                <w:szCs w:val="20"/>
                <w:lang w:val="en-US" w:eastAsia="en-US" w:bidi="ar"/>
              </w:rPr>
              <w:t>H</w:t>
            </w: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en-US" w:bidi="ar"/>
              </w:rPr>
              <w:t>D-I6535EA</w:t>
            </w:r>
          </w:p>
        </w:tc>
        <w:tc>
          <w:tcPr>
            <w:tcW w:w="543" w:type="dxa"/>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en-US" w:bidi="ar"/>
              </w:rPr>
              <w:t>1</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9</w:t>
            </w: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虚拟现实场景构建软件</w:t>
            </w: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Vizard</w:t>
            </w:r>
          </w:p>
        </w:tc>
        <w:tc>
          <w:tcPr>
            <w:tcW w:w="543" w:type="dxa"/>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1</w:t>
            </w:r>
          </w:p>
        </w:tc>
        <w:tc>
          <w:tcPr>
            <w:tcW w:w="988"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0" w:type="auto"/>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10</w:t>
            </w: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台式计算机</w:t>
            </w: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联想</w:t>
            </w:r>
          </w:p>
        </w:tc>
        <w:tc>
          <w:tcPr>
            <w:tcW w:w="0" w:type="auto"/>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r>
              <w:rPr>
                <w:rFonts w:hint="eastAsia" w:ascii="Times New Roman" w:hAnsi="Times New Roman" w:eastAsia="仿宋_GB2312" w:cs="宋体"/>
                <w:b w:val="0"/>
                <w:bCs w:val="0"/>
                <w:i w:val="0"/>
                <w:iCs w:val="0"/>
                <w:color w:val="000000"/>
                <w:spacing w:val="0"/>
                <w:kern w:val="0"/>
                <w:sz w:val="20"/>
                <w:szCs w:val="20"/>
                <w:lang w:val="en-US" w:eastAsia="zh-CN" w:bidi="ar"/>
              </w:rPr>
              <w:t>45</w:t>
            </w:r>
          </w:p>
        </w:tc>
        <w:tc>
          <w:tcPr>
            <w:tcW w:w="0" w:type="auto"/>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2019</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0" w:type="auto"/>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p>
        </w:tc>
        <w:tc>
          <w:tcPr>
            <w:tcW w:w="5242" w:type="dxa"/>
            <w:gridSpan w:val="5"/>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p>
        </w:tc>
        <w:tc>
          <w:tcPr>
            <w:tcW w:w="1591" w:type="dxa"/>
            <w:gridSpan w:val="2"/>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p>
        </w:tc>
        <w:tc>
          <w:tcPr>
            <w:tcW w:w="0" w:type="auto"/>
            <w:vAlign w:val="center"/>
          </w:tcPr>
          <w:p>
            <w:pPr>
              <w:pStyle w:val="4"/>
              <w:keepNext w:val="0"/>
              <w:keepLines w:val="0"/>
              <w:widowControl w:val="0"/>
              <w:suppressLineNumbers w:val="0"/>
              <w:spacing w:before="0" w:beforeAutospacing="0" w:after="0" w:afterAutospacing="0"/>
              <w:ind w:left="0" w:leftChars="0" w:right="0" w:rightChars="0" w:firstLine="0" w:firstLineChars="0"/>
              <w:jc w:val="center"/>
              <w:rPr>
                <w:rFonts w:hint="eastAsia" w:ascii="Times New Roman" w:hAnsi="Times New Roman" w:eastAsia="仿宋_GB2312" w:cs="宋体"/>
                <w:b w:val="0"/>
                <w:bCs w:val="0"/>
                <w:i w:val="0"/>
                <w:iCs w:val="0"/>
                <w:color w:val="000000"/>
                <w:spacing w:val="0"/>
                <w:kern w:val="0"/>
                <w:sz w:val="20"/>
                <w:szCs w:val="20"/>
                <w:lang w:val="en-US" w:eastAsia="en-US" w:bidi="ar"/>
              </w:rPr>
            </w:pPr>
          </w:p>
        </w:tc>
        <w:tc>
          <w:tcPr>
            <w:tcW w:w="0" w:type="auto"/>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rPr>
            </w:pPr>
          </w:p>
        </w:tc>
      </w:tr>
    </w:tbl>
    <w:p>
      <w:pPr>
        <w:ind w:firstLine="470" w:firstLineChars="196"/>
        <w:rPr>
          <w:rFonts w:eastAsia="仿宋_GB2312"/>
        </w:rPr>
      </w:pPr>
      <w:r>
        <w:rPr>
          <w:rFonts w:eastAsia="仿宋_GB2312"/>
          <w:sz w:val="24"/>
        </w:rPr>
        <w:t>注：若为医学类专业应附医疗仪器设备清单。</w:t>
      </w: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281" w:firstLineChars="100"/>
              <w:rPr>
                <w:rFonts w:hint="default" w:ascii="Times New Roman" w:hAnsi="Times New Roman" w:eastAsia="仿宋_GB2312"/>
                <w:b/>
                <w:sz w:val="28"/>
                <w:szCs w:val="28"/>
              </w:rPr>
            </w:pPr>
            <w:r>
              <w:rPr>
                <w:rFonts w:hint="default" w:ascii="Times New Roman" w:hAnsi="Times New Roman"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序  号</w:t>
            </w:r>
          </w:p>
        </w:tc>
        <w:tc>
          <w:tcPr>
            <w:tcW w:w="159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代 码</w:t>
            </w:r>
          </w:p>
        </w:tc>
        <w:tc>
          <w:tcPr>
            <w:tcW w:w="1399" w:type="dxa"/>
            <w:tcBorders>
              <w:bottom w:val="single" w:color="auto" w:sz="4" w:space="0"/>
            </w:tcBorders>
            <w:vAlign w:val="center"/>
          </w:tcPr>
          <w:p>
            <w:pPr>
              <w:keepNext w:val="0"/>
              <w:keepLines w:val="0"/>
              <w:suppressLineNumbers w:val="0"/>
              <w:spacing w:before="0" w:beforeAutospacing="0" w:after="0" w:afterAutospacing="0"/>
              <w:ind w:left="210" w:right="0" w:hanging="210" w:hangingChars="100"/>
              <w:jc w:val="center"/>
              <w:rPr>
                <w:rFonts w:hint="default" w:ascii="Times New Roman" w:hAnsi="Times New Roman" w:eastAsia="仿宋_GB2312"/>
                <w:szCs w:val="21"/>
              </w:rPr>
            </w:pPr>
            <w:r>
              <w:rPr>
                <w:rFonts w:hint="default" w:ascii="Times New Roman" w:hAnsi="Times New Roman" w:eastAsia="仿宋_GB2312"/>
                <w:szCs w:val="21"/>
              </w:rPr>
              <w:t>本/专科</w:t>
            </w:r>
          </w:p>
        </w:tc>
        <w:tc>
          <w:tcPr>
            <w:tcW w:w="306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名   称</w:t>
            </w:r>
          </w:p>
        </w:tc>
        <w:tc>
          <w:tcPr>
            <w:tcW w:w="1958"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1</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2</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3</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4</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5</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6</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7</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8</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9</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Borders>
        <w:top w:val="none" w:sz="0" w:space="0"/>
        <w:left w:val="none" w:sz="0" w:space="0"/>
        <w:bottom w:val="none" w:sz="0" w:space="0"/>
        <w:right w:val="none" w:sz="0" w:space="0"/>
      </w:pgBorders>
      <w:pgNumType w:start="1"/>
      <w:cols w:space="425" w:num="1"/>
      <w:titlePg/>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acds>
    <wne:acd wne:argValue="AgB0AGgAaQBzA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OGJhZDVlZjlkY2E2YTM3ZGNiYTU1YmRmODQwNTQifQ=="/>
  </w:docVars>
  <w:rsids>
    <w:rsidRoot w:val="00172A27"/>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EF16FF"/>
    <w:rsid w:val="00F00B01"/>
    <w:rsid w:val="00F02D42"/>
    <w:rsid w:val="00F10664"/>
    <w:rsid w:val="00F151A5"/>
    <w:rsid w:val="00F16EA0"/>
    <w:rsid w:val="00F452EA"/>
    <w:rsid w:val="00F557BD"/>
    <w:rsid w:val="00F77AB3"/>
    <w:rsid w:val="00F8766E"/>
    <w:rsid w:val="00FD4FB6"/>
    <w:rsid w:val="00FE137A"/>
    <w:rsid w:val="00FE388A"/>
    <w:rsid w:val="00FE7B3C"/>
    <w:rsid w:val="013178AD"/>
    <w:rsid w:val="02274EC8"/>
    <w:rsid w:val="03B94246"/>
    <w:rsid w:val="049820AD"/>
    <w:rsid w:val="0A29511A"/>
    <w:rsid w:val="0F9718DF"/>
    <w:rsid w:val="10E25F57"/>
    <w:rsid w:val="11A7392F"/>
    <w:rsid w:val="11BA18B5"/>
    <w:rsid w:val="120F1ED7"/>
    <w:rsid w:val="12F24DAE"/>
    <w:rsid w:val="13541895"/>
    <w:rsid w:val="13AE369B"/>
    <w:rsid w:val="14891A12"/>
    <w:rsid w:val="15612CE7"/>
    <w:rsid w:val="15FA2BC8"/>
    <w:rsid w:val="163A1216"/>
    <w:rsid w:val="16551BAC"/>
    <w:rsid w:val="16A3500D"/>
    <w:rsid w:val="17BF7B9D"/>
    <w:rsid w:val="19A21712"/>
    <w:rsid w:val="1AC373EA"/>
    <w:rsid w:val="1B19204F"/>
    <w:rsid w:val="1D214EDE"/>
    <w:rsid w:val="1D4330A6"/>
    <w:rsid w:val="1DBF320F"/>
    <w:rsid w:val="1ED146E2"/>
    <w:rsid w:val="1F776D32"/>
    <w:rsid w:val="200F101E"/>
    <w:rsid w:val="208714FC"/>
    <w:rsid w:val="219537A4"/>
    <w:rsid w:val="21D544E9"/>
    <w:rsid w:val="21EB1616"/>
    <w:rsid w:val="21F31337"/>
    <w:rsid w:val="223235A2"/>
    <w:rsid w:val="23F72851"/>
    <w:rsid w:val="262477ED"/>
    <w:rsid w:val="267918E7"/>
    <w:rsid w:val="27A91D58"/>
    <w:rsid w:val="284A0FF5"/>
    <w:rsid w:val="2B2F4C6A"/>
    <w:rsid w:val="2B462264"/>
    <w:rsid w:val="2BE23A8A"/>
    <w:rsid w:val="2DD33A51"/>
    <w:rsid w:val="2DD80BA8"/>
    <w:rsid w:val="2E741573"/>
    <w:rsid w:val="2EB15996"/>
    <w:rsid w:val="2F695830"/>
    <w:rsid w:val="31083F93"/>
    <w:rsid w:val="314E571E"/>
    <w:rsid w:val="32847649"/>
    <w:rsid w:val="348C6C89"/>
    <w:rsid w:val="35E8307B"/>
    <w:rsid w:val="36274EBB"/>
    <w:rsid w:val="37F61CB8"/>
    <w:rsid w:val="384D4981"/>
    <w:rsid w:val="3885732E"/>
    <w:rsid w:val="38E707BE"/>
    <w:rsid w:val="39196A63"/>
    <w:rsid w:val="39A96439"/>
    <w:rsid w:val="39EB4452"/>
    <w:rsid w:val="3A1F0E9F"/>
    <w:rsid w:val="3A2C1881"/>
    <w:rsid w:val="3A2F2590"/>
    <w:rsid w:val="3B273268"/>
    <w:rsid w:val="3C8F7BEE"/>
    <w:rsid w:val="3D314871"/>
    <w:rsid w:val="3DC46608"/>
    <w:rsid w:val="3E8E35FE"/>
    <w:rsid w:val="3E9F698B"/>
    <w:rsid w:val="3F0F1E2B"/>
    <w:rsid w:val="3F1104B7"/>
    <w:rsid w:val="3F487C50"/>
    <w:rsid w:val="3F4E1F8E"/>
    <w:rsid w:val="40FC0CF2"/>
    <w:rsid w:val="41BC339C"/>
    <w:rsid w:val="43DF5027"/>
    <w:rsid w:val="44267A2E"/>
    <w:rsid w:val="498B355B"/>
    <w:rsid w:val="4B08477A"/>
    <w:rsid w:val="4BD26C4D"/>
    <w:rsid w:val="4DCB2178"/>
    <w:rsid w:val="4F093676"/>
    <w:rsid w:val="4F6F4D85"/>
    <w:rsid w:val="4F846856"/>
    <w:rsid w:val="50CA7DE7"/>
    <w:rsid w:val="51303213"/>
    <w:rsid w:val="534A3B3F"/>
    <w:rsid w:val="53B069E4"/>
    <w:rsid w:val="54353DA3"/>
    <w:rsid w:val="577C44E3"/>
    <w:rsid w:val="58474AF1"/>
    <w:rsid w:val="596F664F"/>
    <w:rsid w:val="5A1A70A9"/>
    <w:rsid w:val="5B110295"/>
    <w:rsid w:val="5B767BC7"/>
    <w:rsid w:val="5C1E200D"/>
    <w:rsid w:val="5C960484"/>
    <w:rsid w:val="5D2D1335"/>
    <w:rsid w:val="5D537A94"/>
    <w:rsid w:val="60147F1F"/>
    <w:rsid w:val="60C969EB"/>
    <w:rsid w:val="61AD00BB"/>
    <w:rsid w:val="61B63BA2"/>
    <w:rsid w:val="622317BF"/>
    <w:rsid w:val="631971D2"/>
    <w:rsid w:val="63F07549"/>
    <w:rsid w:val="65A02F3D"/>
    <w:rsid w:val="65C17BFF"/>
    <w:rsid w:val="66A9331D"/>
    <w:rsid w:val="68126ECA"/>
    <w:rsid w:val="68D26659"/>
    <w:rsid w:val="68F91E38"/>
    <w:rsid w:val="695928D6"/>
    <w:rsid w:val="697B0A9F"/>
    <w:rsid w:val="6CD52274"/>
    <w:rsid w:val="6DDD1C6A"/>
    <w:rsid w:val="7096356B"/>
    <w:rsid w:val="71366662"/>
    <w:rsid w:val="71B7463E"/>
    <w:rsid w:val="727D5888"/>
    <w:rsid w:val="730B2E93"/>
    <w:rsid w:val="74822CE1"/>
    <w:rsid w:val="76A038F3"/>
    <w:rsid w:val="76CF5F86"/>
    <w:rsid w:val="7770132E"/>
    <w:rsid w:val="77923BD0"/>
    <w:rsid w:val="77E872FF"/>
    <w:rsid w:val="780879A1"/>
    <w:rsid w:val="7930397D"/>
    <w:rsid w:val="7A8D418E"/>
    <w:rsid w:val="7B1F1AE6"/>
    <w:rsid w:val="7B7D2273"/>
    <w:rsid w:val="7CC828A1"/>
    <w:rsid w:val="7E490D14"/>
    <w:rsid w:val="7EC446FA"/>
    <w:rsid w:val="7EE50A3C"/>
    <w:rsid w:val="7F272F29"/>
    <w:rsid w:val="7F2B2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paragraph" w:customStyle="1" w:styleId="10">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1">
    <w:name w:val="页眉 Char"/>
    <w:basedOn w:val="7"/>
    <w:link w:val="3"/>
    <w:qFormat/>
    <w:uiPriority w:val="99"/>
    <w:rPr>
      <w:rFonts w:ascii="Times New Roman" w:hAnsi="Times New Roman" w:eastAsia="宋体" w:cs="Times New Roman"/>
      <w:sz w:val="18"/>
      <w:szCs w:val="18"/>
    </w:rPr>
  </w:style>
  <w:style w:type="character" w:customStyle="1" w:styleId="12">
    <w:name w:val="页脚 Char"/>
    <w:basedOn w:val="7"/>
    <w:link w:val="2"/>
    <w:qFormat/>
    <w:uiPriority w:val="99"/>
    <w:rPr>
      <w:rFonts w:ascii="Times New Roman" w:hAnsi="Times New Roman" w:eastAsia="宋体" w:cs="Times New Roman"/>
      <w:sz w:val="18"/>
      <w:szCs w:val="18"/>
    </w:rPr>
  </w:style>
  <w:style w:type="table" w:customStyle="1" w:styleId="13">
    <w:name w:val="Table Normal"/>
    <w:basedOn w:val="5"/>
    <w:qFormat/>
    <w:uiPriority w:val="0"/>
    <w:pPr>
      <w:keepNext w:val="0"/>
      <w:keepLines w:val="0"/>
      <w:widowControl w:val="0"/>
      <w:suppressLineNumbers w:val="0"/>
      <w:autoSpaceDE w:val="0"/>
      <w:autoSpaceDN w:val="0"/>
      <w:spacing w:before="0" w:beforeAutospacing="0" w:after="0" w:afterAutospacing="0"/>
      <w:ind w:left="0" w:right="0"/>
    </w:pPr>
    <w:rPr>
      <w:rFonts w:hint="default" w:ascii="Times New Roman" w:hAnsi="Times New Roman" w:cs="Times New Roman"/>
      <w:sz w:val="22"/>
      <w:szCs w:val="22"/>
      <w:lang w:eastAsia="en-US"/>
    </w:rPr>
    <w:tblPr>
      <w:tblCellMar>
        <w:top w:w="0" w:type="dxa"/>
        <w:left w:w="0" w:type="dxa"/>
        <w:bottom w:w="0" w:type="dxa"/>
        <w:right w:w="0" w:type="dxa"/>
      </w:tblCellMar>
    </w:tblPr>
  </w:style>
  <w:style w:type="paragraph" w:customStyle="1" w:styleId="14">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 w:type="character" w:customStyle="1" w:styleId="15">
    <w:name w:val="15"/>
    <w:basedOn w:val="7"/>
    <w:qFormat/>
    <w:uiPriority w:val="0"/>
    <w:rPr>
      <w:rFonts w:hint="default" w:ascii="Times New Roman" w:hAnsi="Times New Roman" w:cs="Times New Roman"/>
    </w:rPr>
  </w:style>
  <w:style w:type="character" w:customStyle="1" w:styleId="16">
    <w:name w:val="10"/>
    <w:basedOn w:val="7"/>
    <w:qFormat/>
    <w:uiPriority w:val="0"/>
    <w:rPr>
      <w:rFonts w:hint="default" w:ascii="Times New Roman" w:hAnsi="Times New Roman" w:cs="Times New Roman"/>
    </w:rPr>
  </w:style>
  <w:style w:type="paragraph" w:customStyle="1" w:styleId="17">
    <w:name w:val="Other|1"/>
    <w:basedOn w:val="1"/>
    <w:qFormat/>
    <w:uiPriority w:val="0"/>
    <w:pPr>
      <w:keepNext w:val="0"/>
      <w:keepLines w:val="0"/>
      <w:widowControl w:val="0"/>
      <w:suppressLineNumbers w:val="0"/>
      <w:spacing w:before="0" w:beforeAutospacing="0" w:after="0" w:afterAutospacing="0"/>
      <w:ind w:left="0" w:right="0" w:firstLine="0"/>
      <w:jc w:val="center"/>
    </w:pPr>
    <w:rPr>
      <w:rFonts w:hint="eastAsia" w:ascii="宋体" w:hAnsi="宋体" w:eastAsia="宋体" w:cs="宋体"/>
      <w:color w:val="000000"/>
      <w:spacing w:val="0"/>
      <w:kern w:val="0"/>
      <w:sz w:val="20"/>
      <w:szCs w:val="20"/>
      <w:lang w:val="en-US" w:eastAsia="zh-CN" w:bidi="ar"/>
    </w:rPr>
  </w:style>
  <w:style w:type="character" w:customStyle="1" w:styleId="18">
    <w:name w:val="16"/>
    <w:basedOn w:val="7"/>
    <w:qFormat/>
    <w:uiPriority w:val="0"/>
    <w:rPr>
      <w:rFonts w:hint="eastAsia" w:ascii="宋体" w:hAnsi="宋体" w:eastAsia="宋体" w:cs="宋体"/>
      <w:color w:val="000000"/>
      <w:sz w:val="16"/>
      <w:szCs w:val="16"/>
    </w:rPr>
  </w:style>
  <w:style w:type="paragraph" w:customStyle="1" w:styleId="19">
    <w:name w:val="this"/>
    <w:basedOn w:val="1"/>
    <w:link w:val="20"/>
    <w:qFormat/>
    <w:uiPriority w:val="0"/>
    <w:pPr>
      <w:spacing w:line="360" w:lineRule="auto"/>
      <w:ind w:firstLine="960" w:firstLineChars="200"/>
      <w:jc w:val="both"/>
    </w:pPr>
    <w:rPr>
      <w:rFonts w:hint="eastAsia" w:eastAsia="仿宋_GB2312" w:cs="Times New Roman"/>
      <w:sz w:val="24"/>
    </w:rPr>
  </w:style>
  <w:style w:type="character" w:customStyle="1" w:styleId="20">
    <w:name w:val="this Char"/>
    <w:link w:val="19"/>
    <w:qFormat/>
    <w:uiPriority w:val="0"/>
    <w:rPr>
      <w:rFonts w:hint="eastAsia" w:eastAsia="仿宋_GB2312"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23</Pages>
  <Words>10172</Words>
  <Characters>10764</Characters>
  <Lines>1</Lines>
  <Paragraphs>1</Paragraphs>
  <TotalTime>3</TotalTime>
  <ScaleCrop>false</ScaleCrop>
  <LinksUpToDate>false</LinksUpToDate>
  <CharactersWithSpaces>11251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heartbeats</cp:lastModifiedBy>
  <dcterms:modified xsi:type="dcterms:W3CDTF">2023-08-25T05:40:41Z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652176A7B189417C9D861D8EA48DC178_12</vt:lpwstr>
  </property>
</Properties>
</file>